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2B" w:rsidRPr="00E52484" w:rsidRDefault="003B252B" w:rsidP="003B252B">
      <w:pPr>
        <w:ind w:left="-426" w:right="282"/>
        <w:jc w:val="center"/>
        <w:rPr>
          <w:rFonts w:ascii="Bookman Old Style" w:hAnsi="Bookman Old Style"/>
          <w:sz w:val="18"/>
        </w:rPr>
      </w:pPr>
    </w:p>
    <w:p w:rsidR="003B252B" w:rsidRPr="00E52484" w:rsidRDefault="003B252B" w:rsidP="003B252B">
      <w:pPr>
        <w:ind w:left="-426" w:right="282"/>
        <w:jc w:val="center"/>
        <w:rPr>
          <w:rFonts w:ascii="Bookman Old Style" w:hAnsi="Bookman Old Style"/>
          <w:sz w:val="18"/>
        </w:rPr>
      </w:pPr>
      <w:r w:rsidRPr="00E52484">
        <w:rPr>
          <w:rFonts w:ascii="Bookman Old Style" w:hAnsi="Bookman Old Style"/>
          <w:sz w:val="18"/>
        </w:rPr>
        <w:t>Herbas arba prekių ženklas</w:t>
      </w:r>
    </w:p>
    <w:p w:rsidR="003B252B" w:rsidRPr="00E52484" w:rsidRDefault="003B252B" w:rsidP="003B252B">
      <w:pPr>
        <w:ind w:left="-426" w:right="282"/>
        <w:rPr>
          <w:rFonts w:ascii="Bookman Old Style" w:hAnsi="Bookman Old Style"/>
          <w:sz w:val="18"/>
        </w:rPr>
      </w:pPr>
      <w:r w:rsidRPr="00E52484">
        <w:rPr>
          <w:rFonts w:ascii="Bookman Old Style" w:hAnsi="Bookman Old Style"/>
          <w:sz w:val="18"/>
        </w:rPr>
        <w:t xml:space="preserve">                                                           </w:t>
      </w:r>
    </w:p>
    <w:p w:rsidR="003B252B" w:rsidRPr="00E52484" w:rsidRDefault="003B252B" w:rsidP="003B252B">
      <w:pPr>
        <w:ind w:left="-426" w:right="282"/>
        <w:jc w:val="center"/>
        <w:rPr>
          <w:rFonts w:ascii="Bookman Old Style" w:hAnsi="Bookman Old Style"/>
          <w:sz w:val="18"/>
        </w:rPr>
      </w:pPr>
      <w:r w:rsidRPr="00E52484">
        <w:rPr>
          <w:rFonts w:ascii="Bookman Old Style" w:hAnsi="Bookman Old Style"/>
          <w:sz w:val="18"/>
        </w:rPr>
        <w:t>(Sutelktinio finansavimo platformos operatoriaus pavadinimas)</w:t>
      </w:r>
    </w:p>
    <w:p w:rsidR="003B252B" w:rsidRPr="00E52484" w:rsidRDefault="003B252B" w:rsidP="003B252B">
      <w:pPr>
        <w:ind w:left="-426" w:right="282"/>
        <w:jc w:val="center"/>
        <w:rPr>
          <w:rFonts w:ascii="Bookman Old Style" w:hAnsi="Bookman Old Style"/>
          <w:sz w:val="18"/>
        </w:rPr>
      </w:pPr>
    </w:p>
    <w:p w:rsidR="003B252B" w:rsidRPr="00E52484" w:rsidRDefault="003B252B" w:rsidP="003B252B">
      <w:pPr>
        <w:ind w:left="-426" w:right="282"/>
        <w:jc w:val="center"/>
        <w:rPr>
          <w:rFonts w:ascii="Bookman Old Style" w:hAnsi="Bookman Old Style"/>
          <w:sz w:val="18"/>
        </w:rPr>
      </w:pPr>
      <w:r w:rsidRPr="00E52484">
        <w:rPr>
          <w:rFonts w:ascii="Bookman Old Style" w:hAnsi="Bookman Old Style"/>
          <w:sz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B252B" w:rsidRPr="00E52484" w:rsidRDefault="003B252B" w:rsidP="003B252B">
      <w:pPr>
        <w:ind w:left="-426" w:right="282"/>
        <w:jc w:val="center"/>
        <w:rPr>
          <w:rFonts w:ascii="Bookman Old Style" w:hAnsi="Bookman Old Style"/>
        </w:rPr>
      </w:pPr>
    </w:p>
    <w:p w:rsidR="003B252B" w:rsidRPr="00CE11BC" w:rsidRDefault="003B252B" w:rsidP="003B252B">
      <w:pPr>
        <w:ind w:left="-426" w:right="282"/>
        <w:jc w:val="center"/>
        <w:rPr>
          <w:rFonts w:ascii="Bookman Old Style" w:hAnsi="Bookman Old Style"/>
          <w:b/>
          <w:bCs/>
        </w:rPr>
      </w:pPr>
    </w:p>
    <w:p w:rsidR="003B252B" w:rsidRPr="00E52484" w:rsidRDefault="003B252B" w:rsidP="003B252B">
      <w:pPr>
        <w:ind w:left="-426" w:right="282"/>
        <w:jc w:val="center"/>
        <w:rPr>
          <w:rFonts w:ascii="Bookman Old Style" w:hAnsi="Bookman Old Style"/>
        </w:rPr>
      </w:pPr>
      <w:r w:rsidRPr="00E52484">
        <w:rPr>
          <w:rFonts w:ascii="Bookman Old Style" w:hAnsi="Bookman Old Style"/>
        </w:rPr>
        <w:t>UAB „INVESTICIJŲ IR VERSLO GARANTIJOS“</w:t>
      </w:r>
    </w:p>
    <w:p w:rsidR="003B252B" w:rsidRPr="00E52484" w:rsidRDefault="003B252B" w:rsidP="003B252B">
      <w:pPr>
        <w:tabs>
          <w:tab w:val="center" w:pos="2520"/>
        </w:tabs>
        <w:ind w:left="-426" w:right="282"/>
        <w:jc w:val="both"/>
        <w:rPr>
          <w:rFonts w:ascii="Bookman Old Style" w:hAnsi="Bookman Old Style"/>
          <w:b/>
        </w:rPr>
      </w:pPr>
    </w:p>
    <w:p w:rsidR="003B252B" w:rsidRPr="00E52484" w:rsidRDefault="003B252B" w:rsidP="003B252B">
      <w:pPr>
        <w:ind w:left="-426" w:right="282"/>
        <w:jc w:val="center"/>
        <w:rPr>
          <w:rFonts w:ascii="Bookman Old Style" w:hAnsi="Bookman Old Style"/>
          <w:b/>
        </w:rPr>
      </w:pPr>
      <w:r w:rsidRPr="00E52484">
        <w:rPr>
          <w:rFonts w:ascii="Bookman Old Style" w:hAnsi="Bookman Old Style"/>
          <w:b/>
        </w:rPr>
        <w:t>PRAŠYMAS</w:t>
      </w:r>
    </w:p>
    <w:p w:rsidR="003B252B" w:rsidRPr="00E52484" w:rsidRDefault="003B252B" w:rsidP="003B252B">
      <w:pPr>
        <w:ind w:left="-426" w:right="282"/>
        <w:jc w:val="center"/>
        <w:rPr>
          <w:rFonts w:ascii="Bookman Old Style" w:hAnsi="Bookman Old Style"/>
          <w:b/>
        </w:rPr>
      </w:pPr>
      <w:r w:rsidRPr="00E52484">
        <w:rPr>
          <w:rFonts w:ascii="Bookman Old Style" w:hAnsi="Bookman Old Style"/>
          <w:b/>
        </w:rPr>
        <w:t xml:space="preserve">DĖL BENDRADARBIAVIMO ĮGYVENDINANT INVEGOS FONDO FINANSŲ INŽINERIJOS PRIEMONĘ „SUTELKTINĖS PASKOLOS „AVIETĖ“ </w:t>
      </w:r>
    </w:p>
    <w:p w:rsidR="003B252B" w:rsidRPr="00E52484" w:rsidRDefault="003B252B" w:rsidP="003B252B">
      <w:pPr>
        <w:ind w:left="-426" w:right="282"/>
        <w:jc w:val="center"/>
        <w:rPr>
          <w:rFonts w:ascii="Bookman Old Style" w:hAnsi="Bookman Old Style"/>
          <w:b/>
          <w:i/>
        </w:rPr>
      </w:pPr>
    </w:p>
    <w:p w:rsidR="003B252B" w:rsidRPr="00E52484" w:rsidRDefault="003B252B" w:rsidP="003B252B">
      <w:pPr>
        <w:ind w:left="-426" w:right="282"/>
        <w:jc w:val="center"/>
        <w:rPr>
          <w:rFonts w:ascii="Bookman Old Style" w:hAnsi="Bookman Old Style"/>
          <w:i/>
        </w:rPr>
      </w:pPr>
    </w:p>
    <w:p w:rsidR="003B252B" w:rsidRPr="00CE11BC" w:rsidRDefault="003B252B" w:rsidP="003B252B">
      <w:pPr>
        <w:shd w:val="clear" w:color="auto" w:fill="FFFFFF"/>
        <w:ind w:left="-426" w:right="282"/>
        <w:jc w:val="center"/>
        <w:rPr>
          <w:rFonts w:ascii="Bookman Old Style" w:hAnsi="Bookman Old Style"/>
          <w:b/>
          <w:bCs/>
          <w:color w:val="000000"/>
        </w:rPr>
      </w:pPr>
      <w:r w:rsidRPr="00CE11BC">
        <w:rPr>
          <w:rFonts w:ascii="Bookman Old Style" w:hAnsi="Bookman Old Style"/>
        </w:rPr>
        <w:t>_____________</w:t>
      </w:r>
      <w:r w:rsidRPr="00CE11BC">
        <w:rPr>
          <w:rFonts w:ascii="Bookman Old Style" w:hAnsi="Bookman Old Style"/>
          <w:b/>
          <w:bCs/>
          <w:color w:val="000000"/>
        </w:rPr>
        <w:t xml:space="preserve"> </w:t>
      </w:r>
      <w:r w:rsidRPr="00CE11BC">
        <w:rPr>
          <w:rFonts w:ascii="Bookman Old Style" w:hAnsi="Bookman Old Style"/>
        </w:rPr>
        <w:t>Nr.______</w:t>
      </w:r>
    </w:p>
    <w:p w:rsidR="003B252B" w:rsidRPr="00CE11BC" w:rsidRDefault="003B252B" w:rsidP="003B252B">
      <w:pPr>
        <w:shd w:val="clear" w:color="auto" w:fill="FFFFFF"/>
        <w:ind w:left="-426" w:right="282"/>
        <w:jc w:val="center"/>
        <w:rPr>
          <w:rFonts w:ascii="Bookman Old Style" w:hAnsi="Bookman Old Style"/>
          <w:bCs/>
          <w:color w:val="000000"/>
        </w:rPr>
      </w:pPr>
      <w:r w:rsidRPr="00CE11BC">
        <w:rPr>
          <w:rFonts w:ascii="Bookman Old Style" w:hAnsi="Bookman Old Style"/>
          <w:bCs/>
          <w:color w:val="000000"/>
        </w:rPr>
        <w:t>(Data)</w:t>
      </w:r>
    </w:p>
    <w:p w:rsidR="003B252B" w:rsidRPr="00CE11BC" w:rsidRDefault="003B252B" w:rsidP="003B252B">
      <w:pPr>
        <w:shd w:val="clear" w:color="auto" w:fill="FFFFFF"/>
        <w:ind w:left="-426" w:right="282"/>
        <w:jc w:val="center"/>
        <w:rPr>
          <w:rFonts w:ascii="Bookman Old Style" w:hAnsi="Bookman Old Style"/>
          <w:bCs/>
          <w:color w:val="000000"/>
        </w:rPr>
      </w:pPr>
      <w:r w:rsidRPr="00CE11BC">
        <w:rPr>
          <w:rFonts w:ascii="Bookman Old Style" w:hAnsi="Bookman Old Style"/>
          <w:bCs/>
          <w:color w:val="000000"/>
        </w:rPr>
        <w:t>_____________</w:t>
      </w:r>
    </w:p>
    <w:p w:rsidR="003B252B" w:rsidRPr="00CE11BC" w:rsidRDefault="003B252B" w:rsidP="003B252B">
      <w:pPr>
        <w:shd w:val="clear" w:color="auto" w:fill="FFFFFF"/>
        <w:ind w:left="-426" w:right="282"/>
        <w:jc w:val="center"/>
        <w:rPr>
          <w:rFonts w:ascii="Bookman Old Style" w:hAnsi="Bookman Old Style"/>
          <w:bCs/>
          <w:color w:val="000000"/>
        </w:rPr>
      </w:pPr>
      <w:r w:rsidRPr="00CE11BC">
        <w:rPr>
          <w:rFonts w:ascii="Bookman Old Style" w:hAnsi="Bookman Old Style"/>
          <w:bCs/>
          <w:color w:val="000000"/>
        </w:rPr>
        <w:t>(Sudarymo vieta)</w:t>
      </w:r>
    </w:p>
    <w:p w:rsidR="003B252B" w:rsidRPr="00E52484" w:rsidRDefault="003B252B" w:rsidP="003B252B">
      <w:pPr>
        <w:ind w:left="-426" w:right="282"/>
        <w:jc w:val="center"/>
        <w:rPr>
          <w:rFonts w:ascii="Bookman Old Style" w:hAnsi="Bookman Old Style"/>
        </w:rPr>
      </w:pPr>
    </w:p>
    <w:p w:rsidR="003B252B" w:rsidRPr="00E52484" w:rsidRDefault="003B252B" w:rsidP="003B252B">
      <w:pPr>
        <w:ind w:left="-426" w:right="282"/>
        <w:jc w:val="center"/>
        <w:rPr>
          <w:rFonts w:ascii="Bookman Old Style" w:hAnsi="Bookman Old Style"/>
        </w:rPr>
      </w:pPr>
    </w:p>
    <w:tbl>
      <w:tblPr>
        <w:tblW w:w="93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22"/>
      </w:tblGrid>
      <w:tr w:rsidR="003B252B" w:rsidRPr="00CE11BC" w:rsidTr="003B252B">
        <w:tc>
          <w:tcPr>
            <w:tcW w:w="5529"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right="282"/>
              <w:rPr>
                <w:rFonts w:ascii="Bookman Old Style" w:hAnsi="Bookman Old Style"/>
              </w:rPr>
            </w:pPr>
            <w:r w:rsidRPr="00E52484">
              <w:rPr>
                <w:rFonts w:ascii="Bookman Old Style" w:hAnsi="Bookman Old Style"/>
              </w:rPr>
              <w:t xml:space="preserve">Sutelktinio finansavimo platformos operatoriaus pavadinimas </w:t>
            </w:r>
          </w:p>
        </w:tc>
        <w:tc>
          <w:tcPr>
            <w:tcW w:w="382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rPr>
            </w:pPr>
          </w:p>
          <w:p w:rsidR="003B252B" w:rsidRPr="00E52484" w:rsidRDefault="003B252B" w:rsidP="003B252B">
            <w:pPr>
              <w:ind w:left="-426" w:right="282"/>
              <w:jc w:val="both"/>
              <w:rPr>
                <w:rFonts w:ascii="Bookman Old Style" w:hAnsi="Bookman Old Style"/>
              </w:rPr>
            </w:pPr>
          </w:p>
        </w:tc>
      </w:tr>
      <w:tr w:rsidR="003B252B" w:rsidRPr="00CE11BC" w:rsidTr="003B252B">
        <w:tc>
          <w:tcPr>
            <w:tcW w:w="5529"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right="282"/>
              <w:jc w:val="both"/>
              <w:rPr>
                <w:rFonts w:ascii="Bookman Old Style" w:hAnsi="Bookman Old Style"/>
              </w:rPr>
            </w:pPr>
            <w:r w:rsidRPr="00CE11BC">
              <w:rPr>
                <w:rFonts w:ascii="Bookman Old Style" w:hAnsi="Bookman Old Style"/>
              </w:rPr>
              <w:t xml:space="preserve">Buveinės adresas </w:t>
            </w:r>
          </w:p>
        </w:tc>
        <w:tc>
          <w:tcPr>
            <w:tcW w:w="382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rPr>
            </w:pPr>
          </w:p>
          <w:p w:rsidR="003B252B" w:rsidRPr="00E52484" w:rsidRDefault="003B252B" w:rsidP="003B252B">
            <w:pPr>
              <w:ind w:left="-426" w:right="282"/>
              <w:jc w:val="both"/>
              <w:rPr>
                <w:rFonts w:ascii="Bookman Old Style" w:hAnsi="Bookman Old Style"/>
              </w:rPr>
            </w:pPr>
          </w:p>
        </w:tc>
      </w:tr>
      <w:tr w:rsidR="003B252B" w:rsidRPr="00CE11BC" w:rsidTr="003B252B">
        <w:tc>
          <w:tcPr>
            <w:tcW w:w="5529"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right="282"/>
              <w:jc w:val="both"/>
              <w:rPr>
                <w:rFonts w:ascii="Bookman Old Style" w:hAnsi="Bookman Old Style"/>
              </w:rPr>
            </w:pPr>
            <w:r w:rsidRPr="00CE11BC">
              <w:rPr>
                <w:rFonts w:ascii="Bookman Old Style" w:hAnsi="Bookman Old Style"/>
              </w:rPr>
              <w:t>Už prašymą atsakingo kontaktinio asmens vardas, pavardė</w:t>
            </w:r>
          </w:p>
        </w:tc>
        <w:tc>
          <w:tcPr>
            <w:tcW w:w="382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rPr>
            </w:pPr>
          </w:p>
          <w:p w:rsidR="003B252B" w:rsidRPr="00E52484" w:rsidRDefault="003B252B" w:rsidP="003B252B">
            <w:pPr>
              <w:ind w:left="-426" w:right="282"/>
              <w:jc w:val="both"/>
              <w:rPr>
                <w:rFonts w:ascii="Bookman Old Style" w:hAnsi="Bookman Old Style"/>
              </w:rPr>
            </w:pPr>
          </w:p>
        </w:tc>
      </w:tr>
      <w:tr w:rsidR="003B252B" w:rsidRPr="00CE11BC" w:rsidTr="003B252B">
        <w:tc>
          <w:tcPr>
            <w:tcW w:w="5529"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right="282"/>
              <w:jc w:val="both"/>
              <w:rPr>
                <w:rFonts w:ascii="Bookman Old Style" w:hAnsi="Bookman Old Style"/>
              </w:rPr>
            </w:pPr>
            <w:r w:rsidRPr="00CE11BC">
              <w:rPr>
                <w:rFonts w:ascii="Bookman Old Style" w:hAnsi="Bookman Old Style"/>
              </w:rPr>
              <w:t>Telefono numeris</w:t>
            </w:r>
          </w:p>
        </w:tc>
        <w:tc>
          <w:tcPr>
            <w:tcW w:w="382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rPr>
            </w:pPr>
          </w:p>
          <w:p w:rsidR="003B252B" w:rsidRPr="00E52484" w:rsidRDefault="003B252B" w:rsidP="003B252B">
            <w:pPr>
              <w:ind w:left="-426" w:right="282"/>
              <w:jc w:val="both"/>
              <w:rPr>
                <w:rFonts w:ascii="Bookman Old Style" w:hAnsi="Bookman Old Style"/>
              </w:rPr>
            </w:pPr>
          </w:p>
        </w:tc>
      </w:tr>
      <w:tr w:rsidR="003B252B" w:rsidRPr="00CE11BC" w:rsidTr="003B252B">
        <w:tc>
          <w:tcPr>
            <w:tcW w:w="5529"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right="282"/>
              <w:jc w:val="both"/>
              <w:rPr>
                <w:rFonts w:ascii="Bookman Old Style" w:hAnsi="Bookman Old Style"/>
              </w:rPr>
            </w:pPr>
            <w:r w:rsidRPr="00CE11BC">
              <w:rPr>
                <w:rFonts w:ascii="Bookman Old Style" w:hAnsi="Bookman Old Style"/>
              </w:rPr>
              <w:t>El. pašto adresas</w:t>
            </w:r>
          </w:p>
        </w:tc>
        <w:tc>
          <w:tcPr>
            <w:tcW w:w="382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rPr>
            </w:pPr>
          </w:p>
          <w:p w:rsidR="003B252B" w:rsidRPr="00E52484" w:rsidRDefault="003B252B" w:rsidP="003B252B">
            <w:pPr>
              <w:ind w:left="-426" w:right="282"/>
              <w:jc w:val="both"/>
              <w:rPr>
                <w:rFonts w:ascii="Bookman Old Style" w:hAnsi="Bookman Old Style"/>
              </w:rPr>
            </w:pPr>
          </w:p>
        </w:tc>
      </w:tr>
    </w:tbl>
    <w:p w:rsidR="003B252B" w:rsidRPr="00CE11BC" w:rsidRDefault="003B252B" w:rsidP="003B252B">
      <w:pPr>
        <w:ind w:left="-426" w:right="282"/>
        <w:jc w:val="both"/>
        <w:rPr>
          <w:rFonts w:ascii="Bookman Old Style" w:hAnsi="Bookman Old Style"/>
        </w:rPr>
      </w:pPr>
    </w:p>
    <w:p w:rsidR="003B252B" w:rsidRPr="00E52484" w:rsidRDefault="003B252B" w:rsidP="003B252B">
      <w:pPr>
        <w:ind w:left="-426" w:right="282" w:firstLine="720"/>
        <w:jc w:val="both"/>
        <w:rPr>
          <w:rFonts w:ascii="Bookman Old Style" w:hAnsi="Bookman Old Style"/>
        </w:rPr>
      </w:pPr>
      <w:r w:rsidRPr="00E52484">
        <w:rPr>
          <w:rFonts w:ascii="Bookman Old Style" w:hAnsi="Bookman Old Style"/>
        </w:rPr>
        <w:t xml:space="preserve">Šiuo prašymu pažymime, kad sutinkame su visomis </w:t>
      </w:r>
      <w:r>
        <w:rPr>
          <w:rFonts w:ascii="Bookman Old Style" w:hAnsi="Bookman Old Style"/>
        </w:rPr>
        <w:t xml:space="preserve">INVEGOS fondo </w:t>
      </w:r>
      <w:r w:rsidRPr="00E52484">
        <w:rPr>
          <w:rFonts w:ascii="Bookman Old Style" w:hAnsi="Bookman Old Style"/>
        </w:rPr>
        <w:t>finansų inžinerijos priemonės „Sutelktinės paskolos „Avietė“ (toliau – Avietė“) sąlygomis, nustatytomis</w:t>
      </w:r>
      <w:r>
        <w:rPr>
          <w:rFonts w:ascii="Bookman Old Style" w:hAnsi="Bookman Old Style"/>
        </w:rPr>
        <w:t xml:space="preserve"> </w:t>
      </w:r>
      <w:r w:rsidRPr="00CE11BC">
        <w:rPr>
          <w:rFonts w:ascii="Bookman Old Style" w:hAnsi="Bookman Old Style"/>
        </w:rPr>
        <w:t>„Avietės“ aprašyme ir techninėje užduotyje</w:t>
      </w:r>
      <w:r>
        <w:rPr>
          <w:rFonts w:ascii="Bookman Old Style" w:hAnsi="Bookman Old Style"/>
        </w:rPr>
        <w:t xml:space="preserve"> bei </w:t>
      </w:r>
      <w:r w:rsidRPr="00CE11BC">
        <w:rPr>
          <w:rFonts w:ascii="Bookman Old Style" w:hAnsi="Bookman Old Style"/>
        </w:rPr>
        <w:t xml:space="preserve">kituose „Avietės“ įgyvendinimo </w:t>
      </w:r>
      <w:r w:rsidRPr="00E52484">
        <w:rPr>
          <w:rFonts w:ascii="Bookman Old Style" w:hAnsi="Bookman Old Style"/>
        </w:rPr>
        <w:t xml:space="preserve">dokumentuose (jų paaiškinimuose, </w:t>
      </w:r>
      <w:proofErr w:type="spellStart"/>
      <w:r w:rsidRPr="00E52484">
        <w:rPr>
          <w:rFonts w:ascii="Bookman Old Style" w:hAnsi="Bookman Old Style"/>
        </w:rPr>
        <w:t>papildymuose</w:t>
      </w:r>
      <w:proofErr w:type="spellEnd"/>
      <w:r w:rsidRPr="00E52484">
        <w:rPr>
          <w:rFonts w:ascii="Bookman Old Style" w:hAnsi="Bookman Old Style"/>
        </w:rPr>
        <w:t>).</w:t>
      </w:r>
    </w:p>
    <w:p w:rsidR="003B252B" w:rsidRPr="00CE11BC" w:rsidRDefault="003B252B" w:rsidP="003B252B">
      <w:pPr>
        <w:ind w:left="-426" w:right="282" w:firstLine="720"/>
        <w:jc w:val="both"/>
        <w:rPr>
          <w:rFonts w:ascii="Bookman Old Style" w:hAnsi="Bookman Old Style"/>
        </w:rPr>
      </w:pPr>
      <w:r w:rsidRPr="00E52484">
        <w:rPr>
          <w:rFonts w:ascii="Bookman Old Style" w:hAnsi="Bookman Old Style"/>
        </w:rPr>
        <w:t>Teikiame prašymą ir dokumentus, patvirtinančius gebėjimą įgyvendinti priemonę „Avietė“, atitikimą „Avietės“ sąlygoms ir „Avietės“ finansų tarpininkui keliamiems reikalavimams</w:t>
      </w:r>
      <w:r>
        <w:rPr>
          <w:rFonts w:ascii="Bookman Old Style" w:hAnsi="Bookman Old Style"/>
        </w:rPr>
        <w:t xml:space="preserve"> ir patvirtiname, kad: </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1) sutelktinio finansavimo platformos operatorius ir jo atstovai žino, kad priemonė „Avietė“ yra finansuojama iš į INVEGOS fondą grįžusių ir (ar) grįšiančių lėšų;</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2) sutelktinio finansavimo platformos operatorius ir jo atstovai įgyvendindami priemonę „Avietė“ įsipareigoja taikyti sutelktinio finansavimo platformos operatoriaus rinkos sąlygomis taikomą įprastą kainodarą ir sąlygas paskolų gavėjams ir finansuotojams;</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3) sutelktinio finansavimo platformos operatoriaus veikloje yra laikomasi darnaus vystymosi ir lyčių lygybės bei nediskriminavimo principų, reglamentuojančių Lietuvos Respublikos teisės aktų reikalavimų, o teikiant techninėje užduotyje apibrėžtas paslaugas šie principai nebus pažeisti.</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4) sutelktinio finansavimo platformos operatoriui nėra iškelta byla dėl bankroto arba restruktūrizavimo, nėra pradėtas ikiteisminis tyrimas dėl ūkinės komercinės veiklos arba jis (jie) nėra likviduojamas (-i), nėra priimtas kreditorių susirinkimo nutarimas bankroto procedūras vykdyti ne teismo tvarka;</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lastRenderedPageBreak/>
        <w:t>5) sutelktinio finansavimo platformos operatorius prašymo ar kito dokumento pateikimo metu yra įvykdęs (-ę) su mokesčių ir socialinio draudimo įmokų mokėjimu susijusius įsipareigojimus pagal „Avietės“ finansų tarpininko veiklai taikomus teisės aktus;</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6) sutelktinio finansavimo platformos operatoriaus vadovas, turintis (-</w:t>
      </w:r>
      <w:proofErr w:type="spellStart"/>
      <w:r w:rsidRPr="00CE11BC">
        <w:rPr>
          <w:rFonts w:ascii="Bookman Old Style" w:hAnsi="Bookman Old Style"/>
        </w:rPr>
        <w:t>ys</w:t>
      </w:r>
      <w:proofErr w:type="spellEnd"/>
      <w:r w:rsidRPr="00CE11BC">
        <w:rPr>
          <w:rFonts w:ascii="Bookman Old Style" w:hAnsi="Bookman Old Style"/>
        </w:rPr>
        <w:t>) teisę juridinio asmens vardu sudaryti sandorį, ar buhalteris (-</w:t>
      </w:r>
      <w:proofErr w:type="spellStart"/>
      <w:r w:rsidRPr="00CE11BC">
        <w:rPr>
          <w:rFonts w:ascii="Bookman Old Style" w:hAnsi="Bookman Old Style"/>
        </w:rPr>
        <w:t>iai</w:t>
      </w:r>
      <w:proofErr w:type="spellEnd"/>
      <w:r w:rsidRPr="00CE11BC">
        <w:rPr>
          <w:rFonts w:ascii="Bookman Old Style" w:hAnsi="Bookman Old Style"/>
        </w:rPr>
        <w:t>), ar kitas (-i) asmuo (asmenys), turintis (-</w:t>
      </w:r>
      <w:proofErr w:type="spellStart"/>
      <w:r w:rsidRPr="00CE11BC">
        <w:rPr>
          <w:rFonts w:ascii="Bookman Old Style" w:hAnsi="Bookman Old Style"/>
        </w:rPr>
        <w:t>ys</w:t>
      </w:r>
      <w:proofErr w:type="spellEnd"/>
      <w:r w:rsidRPr="00CE11BC">
        <w:rPr>
          <w:rFonts w:ascii="Bookman Old Style" w:hAnsi="Bookman Old Style"/>
        </w:rPr>
        <w:t xml:space="preserve">) teisę surašyti ir pasirašyti apskaitos dokumentus, neturi neišnykusio arba nepanaikinto teistumo arba dėl sutelktinio finansavimo platformos operatoriaus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CE11BC">
        <w:rPr>
          <w:rFonts w:ascii="Bookman Old Style" w:hAnsi="Bookman Old Style"/>
        </w:rPr>
        <w:t>vertimąsi</w:t>
      </w:r>
      <w:proofErr w:type="spellEnd"/>
      <w:r w:rsidRPr="00CE11BC">
        <w:rPr>
          <w:rFonts w:ascii="Bookman Old Style" w:hAnsi="Bookman Old Style"/>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w:t>
      </w:r>
      <w:r>
        <w:rPr>
          <w:rFonts w:ascii="Bookman Old Style" w:hAnsi="Bookman Old Style"/>
        </w:rPr>
        <w:t>uropos Sąjungos</w:t>
      </w:r>
      <w:r w:rsidRPr="00CE11BC">
        <w:rPr>
          <w:rFonts w:ascii="Bookman Old Style" w:hAnsi="Bookman Old Style"/>
        </w:rPr>
        <w:t xml:space="preserve"> finansiniams interesams;</w:t>
      </w:r>
    </w:p>
    <w:p w:rsidR="003B252B" w:rsidRPr="00CE11BC" w:rsidRDefault="003B252B" w:rsidP="003B252B">
      <w:pPr>
        <w:ind w:left="-426" w:right="282" w:firstLine="709"/>
        <w:jc w:val="both"/>
        <w:rPr>
          <w:rFonts w:ascii="Bookman Old Style" w:hAnsi="Bookman Old Style"/>
        </w:rPr>
      </w:pPr>
      <w:r w:rsidRPr="00CE11BC">
        <w:rPr>
          <w:rFonts w:ascii="Bookman Old Style" w:hAnsi="Bookman Old Style"/>
        </w:rPr>
        <w:t>7) sutelktinio finansavimo platformos operatoriui nėra taikomas apribojimas (iki 5 metų) administruoti finansų inžinerijos priemones dėl trečiųjų šalių piliečių nelegalaus įdarbinimo;</w:t>
      </w:r>
    </w:p>
    <w:p w:rsidR="003B252B" w:rsidRDefault="003B252B" w:rsidP="003B252B">
      <w:pPr>
        <w:ind w:left="-426" w:right="282" w:firstLine="709"/>
        <w:jc w:val="both"/>
        <w:rPr>
          <w:rFonts w:ascii="Bookman Old Style" w:hAnsi="Bookman Old Style"/>
        </w:rPr>
      </w:pPr>
      <w:r w:rsidRPr="00CE11BC">
        <w:rPr>
          <w:rFonts w:ascii="Bookman Old Style" w:hAnsi="Bookman Old Style"/>
        </w:rPr>
        <w:t>8) sutelktinio finansavimo platformos operatorius yra ekonomiškai ir finansiškai pajėgūs, turi pakankamus gebėjimus įgyvendinti priemonę, įskaitant organizacinę ir valdymo struktūrą, turi apskaitos sistemą, pagal kurią galėtų būti laiku teikiama tiksli, išsami ir patikima informacija, turi išsamią ir patikimą metodiką, pagal kurią identifikuojami ir vertinami paskolų gavėjai.</w:t>
      </w:r>
    </w:p>
    <w:p w:rsidR="003B252B" w:rsidRDefault="003B252B" w:rsidP="003B252B">
      <w:pPr>
        <w:ind w:left="-426" w:right="282" w:firstLine="709"/>
        <w:jc w:val="both"/>
        <w:rPr>
          <w:rFonts w:ascii="Bookman Old Style" w:hAnsi="Bookman Old Style"/>
        </w:rPr>
      </w:pPr>
    </w:p>
    <w:p w:rsidR="003B252B" w:rsidRPr="00E52484" w:rsidRDefault="003B252B" w:rsidP="003B252B">
      <w:pPr>
        <w:ind w:left="-426" w:right="282" w:firstLine="709"/>
        <w:jc w:val="both"/>
        <w:rPr>
          <w:rFonts w:ascii="Bookman Old Style" w:hAnsi="Bookman Old Style"/>
        </w:rPr>
      </w:pPr>
    </w:p>
    <w:p w:rsidR="003B252B" w:rsidRPr="005F3007" w:rsidRDefault="003B252B" w:rsidP="003B252B">
      <w:pPr>
        <w:ind w:left="-426" w:right="282" w:firstLine="720"/>
        <w:jc w:val="both"/>
        <w:rPr>
          <w:rFonts w:ascii="Bookman Old Style" w:hAnsi="Bookman Old Style"/>
        </w:rPr>
      </w:pPr>
      <w:r w:rsidRPr="00CE11BC">
        <w:rPr>
          <w:rFonts w:ascii="Bookman Old Style" w:hAnsi="Bookman Old Style"/>
        </w:rPr>
        <w:t>Kartu su prašymu pateikiami šie dokumentai (pasirašydam</w:t>
      </w:r>
      <w:r>
        <w:rPr>
          <w:rFonts w:ascii="Bookman Old Style" w:hAnsi="Bookman Old Style"/>
        </w:rPr>
        <w:t>i</w:t>
      </w:r>
      <w:r w:rsidRPr="00CE11BC">
        <w:rPr>
          <w:rFonts w:ascii="Bookman Old Style" w:hAnsi="Bookman Old Style"/>
        </w:rPr>
        <w:t xml:space="preserve"> prašymą ar kiekvieną dokumentą saugiu elektroniniu parašu patvirtin</w:t>
      </w:r>
      <w:r>
        <w:rPr>
          <w:rFonts w:ascii="Bookman Old Style" w:hAnsi="Bookman Old Style"/>
        </w:rPr>
        <w:t>ame</w:t>
      </w:r>
      <w:r w:rsidRPr="00CE11BC">
        <w:rPr>
          <w:rFonts w:ascii="Bookman Old Style" w:hAnsi="Bookman Old Style"/>
        </w:rPr>
        <w:t>, kad dokumentų skaitmeninės kopijos yra tikros)</w:t>
      </w:r>
      <w:r w:rsidRPr="005F3007">
        <w:rPr>
          <w:rFonts w:ascii="Bookman Old Style" w:hAnsi="Bookman Old Style"/>
        </w:rPr>
        <w:t>:</w:t>
      </w:r>
    </w:p>
    <w:p w:rsidR="003B252B" w:rsidRPr="005F3007" w:rsidRDefault="003B252B" w:rsidP="003B252B">
      <w:pPr>
        <w:ind w:left="-426" w:right="282" w:firstLine="720"/>
        <w:jc w:val="both"/>
        <w:rPr>
          <w:rFonts w:ascii="Bookman Old Style" w:hAnsi="Bookman Old Style"/>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521"/>
        <w:gridCol w:w="2693"/>
      </w:tblGrid>
      <w:tr w:rsidR="003B252B" w:rsidRPr="00CE11BC" w:rsidTr="003B252B">
        <w:tc>
          <w:tcPr>
            <w:tcW w:w="852" w:type="dxa"/>
            <w:tcBorders>
              <w:top w:val="single" w:sz="4" w:space="0" w:color="auto"/>
              <w:left w:val="single" w:sz="4" w:space="0" w:color="auto"/>
              <w:bottom w:val="single" w:sz="4" w:space="0" w:color="auto"/>
              <w:right w:val="single" w:sz="4" w:space="0" w:color="auto"/>
            </w:tcBorders>
          </w:tcPr>
          <w:p w:rsidR="003B252B" w:rsidRDefault="003B252B" w:rsidP="003B252B">
            <w:pPr>
              <w:ind w:left="-108" w:right="-426" w:hanging="318"/>
              <w:jc w:val="center"/>
              <w:rPr>
                <w:rFonts w:ascii="Bookman Old Style" w:hAnsi="Bookman Old Style"/>
                <w:b/>
              </w:rPr>
            </w:pPr>
            <w:proofErr w:type="spellStart"/>
            <w:r w:rsidRPr="00E52484">
              <w:rPr>
                <w:rFonts w:ascii="Bookman Old Style" w:hAnsi="Bookman Old Style"/>
                <w:b/>
              </w:rPr>
              <w:t>Eil.Nr</w:t>
            </w:r>
            <w:proofErr w:type="spellEnd"/>
            <w:r w:rsidRPr="00E52484">
              <w:rPr>
                <w:rFonts w:ascii="Bookman Old Style" w:hAnsi="Bookman Old Style"/>
                <w:b/>
              </w:rPr>
              <w:t>.</w:t>
            </w:r>
          </w:p>
          <w:p w:rsidR="003B252B" w:rsidRPr="00E52484" w:rsidRDefault="003B252B" w:rsidP="003B252B">
            <w:pPr>
              <w:ind w:left="-426" w:right="282"/>
              <w:jc w:val="center"/>
              <w:rPr>
                <w:rFonts w:ascii="Bookman Old Style" w:hAnsi="Bookman Old Style"/>
                <w:b/>
                <w:sz w:val="12"/>
              </w:rPr>
            </w:pPr>
          </w:p>
        </w:tc>
        <w:tc>
          <w:tcPr>
            <w:tcW w:w="6521"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center"/>
              <w:rPr>
                <w:rFonts w:ascii="Bookman Old Style" w:hAnsi="Bookman Old Style"/>
                <w:b/>
              </w:rPr>
            </w:pPr>
            <w:r w:rsidRPr="00E52484">
              <w:rPr>
                <w:rFonts w:ascii="Bookman Old Style" w:hAnsi="Bookman Old Style"/>
                <w:b/>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right="282"/>
              <w:jc w:val="center"/>
              <w:rPr>
                <w:rFonts w:ascii="Bookman Old Style" w:hAnsi="Bookman Old Style"/>
                <w:b/>
              </w:rPr>
            </w:pPr>
            <w:r w:rsidRPr="00E52484">
              <w:rPr>
                <w:rFonts w:ascii="Bookman Old Style" w:hAnsi="Bookman Old Style"/>
                <w:b/>
              </w:rPr>
              <w:t>Dokumento puslapių skaičius</w:t>
            </w:r>
          </w:p>
        </w:tc>
      </w:tr>
      <w:tr w:rsidR="003B252B" w:rsidRPr="00CE11BC" w:rsidTr="003B252B">
        <w:tc>
          <w:tcPr>
            <w:tcW w:w="85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b/>
              </w:rPr>
            </w:pPr>
            <w:r w:rsidRPr="00E52484">
              <w:rPr>
                <w:rFonts w:ascii="Bookman Old Style" w:hAnsi="Bookman Old Style"/>
                <w:b/>
              </w:rPr>
              <w:t>1.</w:t>
            </w:r>
          </w:p>
        </w:tc>
        <w:tc>
          <w:tcPr>
            <w:tcW w:w="6521"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right="282"/>
              <w:jc w:val="both"/>
              <w:rPr>
                <w:rFonts w:ascii="Bookman Old Style" w:hAnsi="Bookman Old Style"/>
              </w:rPr>
            </w:pPr>
            <w:r w:rsidRPr="00CE11BC">
              <w:rPr>
                <w:rFonts w:ascii="Bookman Old Style" w:hAnsi="Bookman Old Style"/>
              </w:rPr>
              <w:t>„Avietės“ įgyvendinimo strategija*</w:t>
            </w:r>
          </w:p>
        </w:tc>
        <w:tc>
          <w:tcPr>
            <w:tcW w:w="2693"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left="-426" w:right="282"/>
              <w:jc w:val="both"/>
              <w:rPr>
                <w:rFonts w:ascii="Bookman Old Style" w:hAnsi="Bookman Old Style"/>
              </w:rPr>
            </w:pPr>
          </w:p>
        </w:tc>
      </w:tr>
      <w:tr w:rsidR="003B252B" w:rsidRPr="00CE11BC" w:rsidTr="003B252B">
        <w:tc>
          <w:tcPr>
            <w:tcW w:w="85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b/>
              </w:rPr>
            </w:pPr>
            <w:r w:rsidRPr="00E52484">
              <w:rPr>
                <w:rFonts w:ascii="Bookman Old Style" w:hAnsi="Bookman Old Style"/>
                <w:b/>
              </w:rPr>
              <w:t>2.</w:t>
            </w:r>
          </w:p>
        </w:tc>
        <w:tc>
          <w:tcPr>
            <w:tcW w:w="6521"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pStyle w:val="Header"/>
              <w:widowControl/>
              <w:tabs>
                <w:tab w:val="left" w:pos="1296"/>
              </w:tabs>
              <w:spacing w:after="0"/>
              <w:ind w:right="282"/>
              <w:rPr>
                <w:rFonts w:ascii="Bookman Old Style" w:hAnsi="Bookman Old Style"/>
                <w:sz w:val="22"/>
                <w:szCs w:val="22"/>
              </w:rPr>
            </w:pPr>
            <w:r>
              <w:rPr>
                <w:rFonts w:ascii="Bookman Old Style" w:hAnsi="Bookman Old Style"/>
                <w:sz w:val="22"/>
                <w:szCs w:val="22"/>
              </w:rPr>
              <w:t>Pažyma</w:t>
            </w:r>
            <w:r w:rsidRPr="00CE11BC">
              <w:rPr>
                <w:rFonts w:ascii="Bookman Old Style" w:hAnsi="Bookman Old Style"/>
                <w:sz w:val="22"/>
                <w:szCs w:val="22"/>
              </w:rPr>
              <w:t xml:space="preserve"> apie atitikimą reikalavimams (</w:t>
            </w:r>
            <w:r>
              <w:rPr>
                <w:rFonts w:ascii="Bookman Old Style" w:hAnsi="Bookman Old Style"/>
                <w:sz w:val="22"/>
                <w:szCs w:val="22"/>
              </w:rPr>
              <w:t>Prašymo 1</w:t>
            </w:r>
            <w:r w:rsidRPr="00CE11BC">
              <w:rPr>
                <w:rFonts w:ascii="Bookman Old Style" w:hAnsi="Bookman Old Style"/>
                <w:sz w:val="22"/>
                <w:szCs w:val="22"/>
              </w:rPr>
              <w:t xml:space="preserve"> priedas)</w:t>
            </w:r>
          </w:p>
        </w:tc>
        <w:tc>
          <w:tcPr>
            <w:tcW w:w="2693"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left="-426" w:right="282"/>
              <w:jc w:val="both"/>
              <w:rPr>
                <w:rFonts w:ascii="Bookman Old Style" w:hAnsi="Bookman Old Style"/>
              </w:rPr>
            </w:pPr>
          </w:p>
        </w:tc>
      </w:tr>
      <w:tr w:rsidR="003B252B" w:rsidRPr="00CE11BC" w:rsidTr="003B252B">
        <w:tc>
          <w:tcPr>
            <w:tcW w:w="852" w:type="dxa"/>
            <w:tcBorders>
              <w:top w:val="single" w:sz="4" w:space="0" w:color="auto"/>
              <w:left w:val="single" w:sz="4" w:space="0" w:color="auto"/>
              <w:bottom w:val="single" w:sz="4" w:space="0" w:color="auto"/>
              <w:right w:val="single" w:sz="4" w:space="0" w:color="auto"/>
            </w:tcBorders>
          </w:tcPr>
          <w:p w:rsidR="003B252B" w:rsidRPr="00E52484" w:rsidRDefault="003B252B" w:rsidP="003B252B">
            <w:pPr>
              <w:ind w:left="-426" w:right="282"/>
              <w:jc w:val="both"/>
              <w:rPr>
                <w:rFonts w:ascii="Bookman Old Style" w:hAnsi="Bookman Old Style"/>
                <w:b/>
              </w:rPr>
            </w:pPr>
            <w:r w:rsidRPr="00E52484">
              <w:rPr>
                <w:rFonts w:ascii="Bookman Old Style" w:hAnsi="Bookman Old Style"/>
                <w:b/>
              </w:rPr>
              <w:t>3.</w:t>
            </w:r>
          </w:p>
        </w:tc>
        <w:tc>
          <w:tcPr>
            <w:tcW w:w="6521"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right="282"/>
              <w:jc w:val="both"/>
              <w:rPr>
                <w:rFonts w:ascii="Bookman Old Style" w:hAnsi="Bookman Old Style"/>
              </w:rPr>
            </w:pPr>
            <w:r w:rsidRPr="00CE11BC">
              <w:rPr>
                <w:rFonts w:ascii="Bookman Old Style" w:hAnsi="Bookman Old Style"/>
              </w:rPr>
              <w:t>Audituotos finansinės ataskaitos už paskutinius finansinius metus</w:t>
            </w:r>
            <w:r>
              <w:rPr>
                <w:rFonts w:ascii="Bookman Old Style" w:hAnsi="Bookman Old Style"/>
              </w:rPr>
              <w:t xml:space="preserve"> (j</w:t>
            </w:r>
            <w:r w:rsidRPr="007A6183">
              <w:rPr>
                <w:rFonts w:ascii="Bookman Old Style" w:hAnsi="Bookman Old Style"/>
              </w:rPr>
              <w:t>eigu sutelktinio finansavimo platformos operatorius vykdo veiklą nepilnus finansinius metus, pateikiama nepriklausomų auditorių išvada už nepilnus finansinius metus)</w:t>
            </w:r>
          </w:p>
        </w:tc>
        <w:tc>
          <w:tcPr>
            <w:tcW w:w="2693" w:type="dxa"/>
            <w:tcBorders>
              <w:top w:val="single" w:sz="4" w:space="0" w:color="auto"/>
              <w:left w:val="single" w:sz="4" w:space="0" w:color="auto"/>
              <w:bottom w:val="single" w:sz="4" w:space="0" w:color="auto"/>
              <w:right w:val="single" w:sz="4" w:space="0" w:color="auto"/>
            </w:tcBorders>
          </w:tcPr>
          <w:p w:rsidR="003B252B" w:rsidRPr="00CE11BC" w:rsidRDefault="003B252B" w:rsidP="003B252B">
            <w:pPr>
              <w:ind w:left="-426" w:right="282"/>
              <w:jc w:val="both"/>
              <w:rPr>
                <w:rFonts w:ascii="Bookman Old Style" w:hAnsi="Bookman Old Style"/>
              </w:rPr>
            </w:pPr>
          </w:p>
        </w:tc>
      </w:tr>
    </w:tbl>
    <w:p w:rsidR="003B252B" w:rsidRPr="00392CD2" w:rsidRDefault="003B252B" w:rsidP="003B252B">
      <w:pPr>
        <w:tabs>
          <w:tab w:val="left" w:pos="851"/>
        </w:tabs>
        <w:autoSpaceDE w:val="0"/>
        <w:autoSpaceDN w:val="0"/>
        <w:adjustRightInd w:val="0"/>
        <w:ind w:left="-426" w:right="282" w:firstLine="709"/>
        <w:jc w:val="both"/>
        <w:rPr>
          <w:rFonts w:ascii="Bookman Old Style" w:hAnsi="Bookman Old Style"/>
          <w:sz w:val="18"/>
        </w:rPr>
      </w:pPr>
      <w:r w:rsidRPr="009156C5">
        <w:rPr>
          <w:rFonts w:ascii="Bookman Old Style" w:hAnsi="Bookman Old Style"/>
          <w:sz w:val="18"/>
          <w:szCs w:val="18"/>
        </w:rPr>
        <w:tab/>
      </w:r>
      <w:r w:rsidRPr="00392CD2">
        <w:rPr>
          <w:rFonts w:ascii="Bookman Old Style" w:hAnsi="Bookman Old Style"/>
          <w:sz w:val="18"/>
        </w:rPr>
        <w:t>*„Avietės“ gyvendinimo strategijoje be kitos pateikiamos informacijos, turi būti informacija apie:</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lastRenderedPageBreak/>
        <w:t>sutelktinio finansavimo platformos operatoriaus organizacinę struktūrą ir valdymo sistemą;</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interesų konfliktų derinimo ir išvengimo sistemą;</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 xml:space="preserve">bendradarbiavimo sutarties įgyvendinimo kontrolės mechanizmą, </w:t>
      </w:r>
      <w:proofErr w:type="spellStart"/>
      <w:r w:rsidRPr="00392CD2">
        <w:rPr>
          <w:rFonts w:ascii="Bookman Old Style" w:hAnsi="Bookman Old Style"/>
          <w:sz w:val="18"/>
        </w:rPr>
        <w:t>t.y</w:t>
      </w:r>
      <w:proofErr w:type="spellEnd"/>
      <w:r w:rsidRPr="00392CD2">
        <w:rPr>
          <w:rFonts w:ascii="Bookman Old Style" w:hAnsi="Bookman Old Style"/>
          <w:sz w:val="18"/>
        </w:rPr>
        <w:t>. turi būti pateikta informacija apie tai, kaip bus užtikrinama, kad bendradarbiavimo sutartis būtų įgyvendinama tinkamai, kokių priemonių bus imtasi, kad „Avietės“ lėšomis būtų finansuotos tik tinkamos paskolos tinkamiems paskolų gavėjams ir paskolos lėšos būtų panaudojamos pagal paskirtį, kaip bus saugomi išlaidas pagrindžiantys dokumentai ir pan.;</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taikomas pinigų plovimo prevencijos, kovos su terorizmu ir mokestiniu sukčiavimu standartų ir teisės aktų taikymo procedūras įgyvendinant „Avietę“;</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 xml:space="preserve">„Avietės“ lėšų skyrimo paskoloms finansuoti kriterijus ir sąlygas, nurodant, kad sutelktinio finansavimo platformos operatorius turi profesionalias ir tinkamas paskolos gavėjų rizikos įvertinimo procedūras (vidinė paskolos gavėjų ir (ar) paskolų reitingavimo ir (ar) rizikos vertinimo metodika (paskolos gavėjų kredito reitingai turėtų būti prilyginti tarptautinių reitingų agentūrų (angl. </w:t>
      </w:r>
      <w:proofErr w:type="spellStart"/>
      <w:r w:rsidRPr="00392CD2">
        <w:rPr>
          <w:rFonts w:ascii="Bookman Old Style" w:hAnsi="Bookman Old Style"/>
          <w:sz w:val="18"/>
        </w:rPr>
        <w:t>Standart</w:t>
      </w:r>
      <w:proofErr w:type="spellEnd"/>
      <w:r w:rsidRPr="00392CD2">
        <w:rPr>
          <w:rFonts w:ascii="Bookman Old Style" w:hAnsi="Bookman Old Style"/>
          <w:sz w:val="18"/>
        </w:rPr>
        <w:t xml:space="preserve"> </w:t>
      </w:r>
      <w:proofErr w:type="spellStart"/>
      <w:r w:rsidRPr="00392CD2">
        <w:rPr>
          <w:rFonts w:ascii="Bookman Old Style" w:hAnsi="Bookman Old Style"/>
          <w:sz w:val="18"/>
        </w:rPr>
        <w:t>and</w:t>
      </w:r>
      <w:proofErr w:type="spellEnd"/>
      <w:r w:rsidRPr="00392CD2">
        <w:rPr>
          <w:rFonts w:ascii="Bookman Old Style" w:hAnsi="Bookman Old Style"/>
          <w:sz w:val="18"/>
        </w:rPr>
        <w:t xml:space="preserve"> </w:t>
      </w:r>
      <w:proofErr w:type="spellStart"/>
      <w:r w:rsidRPr="00392CD2">
        <w:rPr>
          <w:rFonts w:ascii="Bookman Old Style" w:hAnsi="Bookman Old Style"/>
          <w:sz w:val="18"/>
        </w:rPr>
        <w:t>Poor's</w:t>
      </w:r>
      <w:proofErr w:type="spellEnd"/>
      <w:r w:rsidRPr="00392CD2">
        <w:rPr>
          <w:rFonts w:ascii="Bookman Old Style" w:hAnsi="Bookman Old Style"/>
          <w:sz w:val="18"/>
        </w:rPr>
        <w:t xml:space="preserve">, </w:t>
      </w:r>
      <w:proofErr w:type="spellStart"/>
      <w:r w:rsidRPr="00392CD2">
        <w:rPr>
          <w:rFonts w:ascii="Bookman Old Style" w:hAnsi="Bookman Old Style"/>
          <w:sz w:val="18"/>
        </w:rPr>
        <w:t>Fitch</w:t>
      </w:r>
      <w:proofErr w:type="spellEnd"/>
      <w:r w:rsidRPr="00392CD2">
        <w:rPr>
          <w:rFonts w:ascii="Bookman Old Style" w:hAnsi="Bookman Old Style"/>
          <w:sz w:val="18"/>
        </w:rPr>
        <w:t xml:space="preserve">, ir </w:t>
      </w:r>
      <w:proofErr w:type="spellStart"/>
      <w:r w:rsidRPr="00392CD2">
        <w:rPr>
          <w:rFonts w:ascii="Bookman Old Style" w:hAnsi="Bookman Old Style"/>
          <w:sz w:val="18"/>
        </w:rPr>
        <w:t>Moody's</w:t>
      </w:r>
      <w:proofErr w:type="spellEnd"/>
      <w:r w:rsidRPr="00392CD2">
        <w:rPr>
          <w:rFonts w:ascii="Bookman Old Style" w:hAnsi="Bookman Old Style"/>
          <w:sz w:val="18"/>
        </w:rPr>
        <w:t>) taikomiems reitingams), taip pat paskolų teikimo, stebėsenos procedūras, paskolų portfelio rizikos valdymo, skolų išieškojimo metodikas. Kartu su įgyvendinimo strategija sutelktinio finansavimo platformos operatorius turi pateikti: vidinę paskolos gavėjų ir (ar) paskolų reitingavimo ir (ar) vertinimo metodiką, paskolų stebėsenos, paskolų portfelio rizikos valdymo ir skolų išieškojimo metodikas arba lygiaverčius dokumentus;</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administracines ir apskaitos procedūras, elektroninių duomenų apdorojimo kontrolės ir apsaugos priemones, kurios yra patikimos ir gali pateikti informaciją apie visus sandorius, jų turinį, laiką ir vietą, kad būtų galima nustatyti, ar finansavimas suteiktas pagal nustatytus reikalavimus;</w:t>
      </w:r>
    </w:p>
    <w:p w:rsidR="003B252B" w:rsidRPr="00392CD2"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rPr>
      </w:pPr>
      <w:r w:rsidRPr="00392CD2">
        <w:rPr>
          <w:rFonts w:ascii="Bookman Old Style" w:hAnsi="Bookman Old Style"/>
          <w:sz w:val="18"/>
        </w:rPr>
        <w:t>dokumentų saugojimo sistemą;</w:t>
      </w:r>
    </w:p>
    <w:p w:rsidR="003B252B" w:rsidRPr="009156C5" w:rsidRDefault="003B252B" w:rsidP="003B252B">
      <w:pPr>
        <w:pStyle w:val="ListParagraph"/>
        <w:numPr>
          <w:ilvl w:val="2"/>
          <w:numId w:val="1"/>
        </w:numPr>
        <w:tabs>
          <w:tab w:val="left" w:pos="851"/>
          <w:tab w:val="left" w:pos="993"/>
        </w:tabs>
        <w:autoSpaceDE w:val="0"/>
        <w:autoSpaceDN w:val="0"/>
        <w:adjustRightInd w:val="0"/>
        <w:ind w:left="-426" w:right="282" w:firstLine="709"/>
        <w:jc w:val="both"/>
        <w:rPr>
          <w:rFonts w:ascii="Bookman Old Style" w:hAnsi="Bookman Old Style"/>
          <w:sz w:val="18"/>
          <w:szCs w:val="18"/>
        </w:rPr>
      </w:pPr>
      <w:r w:rsidRPr="00392CD2">
        <w:rPr>
          <w:rFonts w:ascii="Bookman Old Style" w:hAnsi="Bookman Old Style"/>
          <w:sz w:val="18"/>
        </w:rPr>
        <w:t>duomenų, susijusių su paskolų finansavimu, kaupimo ir valdymo sistemą</w:t>
      </w:r>
      <w:r w:rsidRPr="009156C5">
        <w:rPr>
          <w:rFonts w:ascii="Bookman Old Style" w:hAnsi="Bookman Old Style"/>
          <w:sz w:val="18"/>
          <w:szCs w:val="18"/>
        </w:rPr>
        <w:t>.</w:t>
      </w:r>
    </w:p>
    <w:p w:rsidR="003B252B" w:rsidRPr="00CE11BC" w:rsidRDefault="003B252B" w:rsidP="003B252B">
      <w:pPr>
        <w:tabs>
          <w:tab w:val="left" w:pos="993"/>
        </w:tabs>
        <w:ind w:left="-426" w:right="282" w:firstLine="709"/>
        <w:jc w:val="both"/>
        <w:rPr>
          <w:rFonts w:ascii="Bookman Old Style" w:hAnsi="Bookman Old Style"/>
        </w:rPr>
      </w:pPr>
    </w:p>
    <w:p w:rsidR="003B252B" w:rsidRPr="00CE11BC" w:rsidRDefault="003B252B" w:rsidP="003B252B">
      <w:pPr>
        <w:ind w:left="-426" w:right="282" w:firstLine="720"/>
        <w:jc w:val="both"/>
        <w:rPr>
          <w:rFonts w:ascii="Bookman Old Style" w:hAnsi="Bookman Old Style"/>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3B252B" w:rsidRPr="00CE11BC" w:rsidTr="00C2493C">
        <w:trPr>
          <w:trHeight w:val="324"/>
        </w:trPr>
        <w:tc>
          <w:tcPr>
            <w:tcW w:w="9828" w:type="dxa"/>
            <w:gridSpan w:val="7"/>
          </w:tcPr>
          <w:p w:rsidR="003B252B" w:rsidRPr="00CE11BC" w:rsidRDefault="003B252B" w:rsidP="003B252B">
            <w:pPr>
              <w:ind w:left="-426" w:right="282" w:firstLine="720"/>
              <w:jc w:val="both"/>
              <w:rPr>
                <w:rFonts w:ascii="Bookman Old Style" w:hAnsi="Bookman Old Style"/>
              </w:rPr>
            </w:pPr>
          </w:p>
        </w:tc>
      </w:tr>
      <w:tr w:rsidR="003B252B" w:rsidRPr="00CE11BC" w:rsidTr="00C2493C">
        <w:tc>
          <w:tcPr>
            <w:tcW w:w="2988" w:type="dxa"/>
          </w:tcPr>
          <w:p w:rsidR="003B252B" w:rsidRPr="00CE11BC" w:rsidRDefault="003B252B" w:rsidP="003B252B">
            <w:pPr>
              <w:ind w:left="-426" w:right="282"/>
              <w:jc w:val="both"/>
              <w:rPr>
                <w:rFonts w:ascii="Bookman Old Style" w:hAnsi="Bookman Old Style"/>
              </w:rPr>
            </w:pPr>
          </w:p>
        </w:tc>
        <w:tc>
          <w:tcPr>
            <w:tcW w:w="6840" w:type="dxa"/>
            <w:gridSpan w:val="6"/>
          </w:tcPr>
          <w:p w:rsidR="003B252B" w:rsidRPr="00E52484" w:rsidRDefault="003B252B" w:rsidP="003B252B">
            <w:pPr>
              <w:ind w:left="-426" w:right="282"/>
              <w:jc w:val="both"/>
              <w:rPr>
                <w:rFonts w:ascii="Bookman Old Style" w:hAnsi="Bookman Old Style"/>
                <w:i/>
              </w:rPr>
            </w:pPr>
          </w:p>
        </w:tc>
      </w:tr>
      <w:tr w:rsidR="003B252B" w:rsidRPr="00CE11BC" w:rsidTr="00C2493C">
        <w:trPr>
          <w:trHeight w:val="285"/>
        </w:trPr>
        <w:tc>
          <w:tcPr>
            <w:tcW w:w="3284" w:type="dxa"/>
            <w:gridSpan w:val="2"/>
            <w:tcBorders>
              <w:top w:val="nil"/>
              <w:left w:val="nil"/>
              <w:bottom w:val="single" w:sz="4" w:space="0" w:color="auto"/>
              <w:right w:val="nil"/>
            </w:tcBorders>
          </w:tcPr>
          <w:p w:rsidR="003B252B" w:rsidRPr="00CE11BC" w:rsidRDefault="003B252B" w:rsidP="003B252B">
            <w:pPr>
              <w:ind w:left="-426" w:right="282"/>
              <w:rPr>
                <w:rFonts w:ascii="Bookman Old Style" w:hAnsi="Bookman Old Style"/>
              </w:rPr>
            </w:pPr>
          </w:p>
        </w:tc>
        <w:tc>
          <w:tcPr>
            <w:tcW w:w="604" w:type="dxa"/>
          </w:tcPr>
          <w:p w:rsidR="003B252B" w:rsidRPr="00CE11BC" w:rsidRDefault="003B252B" w:rsidP="003B252B">
            <w:pPr>
              <w:ind w:left="-426" w:right="282"/>
              <w:jc w:val="center"/>
              <w:rPr>
                <w:rFonts w:ascii="Bookman Old Style" w:hAnsi="Bookman Old Style"/>
              </w:rPr>
            </w:pPr>
          </w:p>
        </w:tc>
        <w:tc>
          <w:tcPr>
            <w:tcW w:w="1980" w:type="dxa"/>
            <w:tcBorders>
              <w:top w:val="nil"/>
              <w:left w:val="nil"/>
              <w:bottom w:val="single" w:sz="4" w:space="0" w:color="auto"/>
              <w:right w:val="nil"/>
            </w:tcBorders>
          </w:tcPr>
          <w:p w:rsidR="003B252B" w:rsidRPr="00CE11BC" w:rsidRDefault="003B252B" w:rsidP="003B252B">
            <w:pPr>
              <w:ind w:left="-426" w:right="282"/>
              <w:jc w:val="center"/>
              <w:rPr>
                <w:rFonts w:ascii="Bookman Old Style" w:hAnsi="Bookman Old Style"/>
              </w:rPr>
            </w:pPr>
          </w:p>
        </w:tc>
        <w:tc>
          <w:tcPr>
            <w:tcW w:w="701" w:type="dxa"/>
          </w:tcPr>
          <w:p w:rsidR="003B252B" w:rsidRPr="00CE11BC" w:rsidRDefault="003B252B" w:rsidP="003B252B">
            <w:pPr>
              <w:ind w:left="-426" w:right="282"/>
              <w:jc w:val="center"/>
              <w:rPr>
                <w:rFonts w:ascii="Bookman Old Style" w:hAnsi="Bookman Old Style"/>
              </w:rPr>
            </w:pPr>
          </w:p>
        </w:tc>
        <w:tc>
          <w:tcPr>
            <w:tcW w:w="2611" w:type="dxa"/>
            <w:tcBorders>
              <w:top w:val="nil"/>
              <w:left w:val="nil"/>
              <w:bottom w:val="single" w:sz="4" w:space="0" w:color="auto"/>
              <w:right w:val="nil"/>
            </w:tcBorders>
          </w:tcPr>
          <w:p w:rsidR="003B252B" w:rsidRPr="00CE11BC" w:rsidRDefault="003B252B" w:rsidP="003B252B">
            <w:pPr>
              <w:ind w:left="-426" w:right="282"/>
              <w:jc w:val="right"/>
              <w:rPr>
                <w:rFonts w:ascii="Bookman Old Style" w:hAnsi="Bookman Old Style"/>
              </w:rPr>
            </w:pPr>
          </w:p>
        </w:tc>
        <w:tc>
          <w:tcPr>
            <w:tcW w:w="648" w:type="dxa"/>
          </w:tcPr>
          <w:p w:rsidR="003B252B" w:rsidRPr="00CE11BC" w:rsidRDefault="003B252B" w:rsidP="003B252B">
            <w:pPr>
              <w:ind w:left="-426" w:right="282"/>
              <w:jc w:val="right"/>
              <w:rPr>
                <w:rFonts w:ascii="Bookman Old Style" w:hAnsi="Bookman Old Style"/>
              </w:rPr>
            </w:pPr>
          </w:p>
        </w:tc>
      </w:tr>
      <w:tr w:rsidR="003B252B" w:rsidRPr="00CE11BC" w:rsidTr="00C2493C">
        <w:trPr>
          <w:trHeight w:val="186"/>
        </w:trPr>
        <w:tc>
          <w:tcPr>
            <w:tcW w:w="3284" w:type="dxa"/>
            <w:gridSpan w:val="2"/>
            <w:tcBorders>
              <w:top w:val="single" w:sz="4" w:space="0" w:color="auto"/>
              <w:left w:val="nil"/>
              <w:bottom w:val="nil"/>
              <w:right w:val="nil"/>
            </w:tcBorders>
          </w:tcPr>
          <w:p w:rsidR="003B252B" w:rsidRPr="00CE11BC" w:rsidRDefault="003B252B" w:rsidP="003B252B">
            <w:pPr>
              <w:pStyle w:val="BodyText1"/>
              <w:ind w:left="34" w:right="282" w:firstLine="0"/>
              <w:jc w:val="left"/>
              <w:rPr>
                <w:rFonts w:ascii="Bookman Old Style" w:hAnsi="Bookman Old Style"/>
                <w:position w:val="6"/>
                <w:sz w:val="22"/>
                <w:szCs w:val="22"/>
                <w:lang w:val="lt-LT"/>
              </w:rPr>
            </w:pPr>
            <w:r w:rsidRPr="00CE11BC">
              <w:rPr>
                <w:rFonts w:ascii="Bookman Old Style" w:hAnsi="Bookman Old Style"/>
                <w:position w:val="6"/>
                <w:sz w:val="22"/>
                <w:szCs w:val="22"/>
                <w:lang w:val="lt-LT"/>
              </w:rPr>
              <w:t>(Pareigų pavadinimas*)</w:t>
            </w:r>
          </w:p>
        </w:tc>
        <w:tc>
          <w:tcPr>
            <w:tcW w:w="604" w:type="dxa"/>
          </w:tcPr>
          <w:p w:rsidR="003B252B" w:rsidRPr="00CE11BC" w:rsidRDefault="003B252B" w:rsidP="003B252B">
            <w:pPr>
              <w:ind w:left="-426" w:right="282"/>
              <w:jc w:val="center"/>
              <w:rPr>
                <w:rFonts w:ascii="Bookman Old Style" w:hAnsi="Bookman Old Style"/>
              </w:rPr>
            </w:pPr>
          </w:p>
        </w:tc>
        <w:tc>
          <w:tcPr>
            <w:tcW w:w="1980" w:type="dxa"/>
            <w:tcBorders>
              <w:top w:val="single" w:sz="4" w:space="0" w:color="auto"/>
              <w:left w:val="nil"/>
              <w:bottom w:val="nil"/>
              <w:right w:val="nil"/>
            </w:tcBorders>
          </w:tcPr>
          <w:p w:rsidR="003B252B" w:rsidRPr="00CE11BC" w:rsidRDefault="003B252B" w:rsidP="003B252B">
            <w:pPr>
              <w:ind w:left="-426" w:right="282"/>
              <w:jc w:val="center"/>
              <w:rPr>
                <w:rFonts w:ascii="Bookman Old Style" w:hAnsi="Bookman Old Style"/>
              </w:rPr>
            </w:pPr>
            <w:r w:rsidRPr="00CE11BC">
              <w:rPr>
                <w:rFonts w:ascii="Bookman Old Style" w:hAnsi="Bookman Old Style"/>
                <w:position w:val="6"/>
              </w:rPr>
              <w:t>(Parašas*)</w:t>
            </w:r>
            <w:r w:rsidRPr="00CE11BC">
              <w:rPr>
                <w:rFonts w:ascii="Bookman Old Style" w:hAnsi="Bookman Old Style"/>
                <w:i/>
              </w:rPr>
              <w:t xml:space="preserve"> </w:t>
            </w:r>
          </w:p>
        </w:tc>
        <w:tc>
          <w:tcPr>
            <w:tcW w:w="701" w:type="dxa"/>
          </w:tcPr>
          <w:p w:rsidR="003B252B" w:rsidRPr="00CE11BC" w:rsidRDefault="003B252B" w:rsidP="003B252B">
            <w:pPr>
              <w:ind w:left="-426" w:right="282"/>
              <w:jc w:val="center"/>
              <w:rPr>
                <w:rFonts w:ascii="Bookman Old Style" w:hAnsi="Bookman Old Style"/>
              </w:rPr>
            </w:pPr>
          </w:p>
        </w:tc>
        <w:tc>
          <w:tcPr>
            <w:tcW w:w="2611" w:type="dxa"/>
            <w:tcBorders>
              <w:top w:val="single" w:sz="4" w:space="0" w:color="auto"/>
              <w:left w:val="nil"/>
              <w:bottom w:val="nil"/>
              <w:right w:val="nil"/>
            </w:tcBorders>
          </w:tcPr>
          <w:p w:rsidR="003B252B" w:rsidRPr="00CE11BC" w:rsidRDefault="003B252B" w:rsidP="003B252B">
            <w:pPr>
              <w:ind w:left="-156" w:right="282"/>
              <w:jc w:val="center"/>
              <w:rPr>
                <w:rFonts w:ascii="Bookman Old Style" w:hAnsi="Bookman Old Style"/>
              </w:rPr>
            </w:pPr>
            <w:r w:rsidRPr="00CE11BC">
              <w:rPr>
                <w:rFonts w:ascii="Bookman Old Style" w:hAnsi="Bookman Old Style"/>
                <w:position w:val="6"/>
              </w:rPr>
              <w:t>(Vardas ir pavardė*)</w:t>
            </w:r>
            <w:r w:rsidRPr="00CE11BC">
              <w:rPr>
                <w:rFonts w:ascii="Bookman Old Style" w:hAnsi="Bookman Old Style"/>
                <w:i/>
              </w:rPr>
              <w:t xml:space="preserve"> </w:t>
            </w:r>
          </w:p>
        </w:tc>
        <w:tc>
          <w:tcPr>
            <w:tcW w:w="648" w:type="dxa"/>
          </w:tcPr>
          <w:p w:rsidR="003B252B" w:rsidRPr="00CE11BC" w:rsidRDefault="003B252B" w:rsidP="003B252B">
            <w:pPr>
              <w:ind w:left="-426" w:right="282"/>
              <w:jc w:val="center"/>
              <w:rPr>
                <w:rFonts w:ascii="Bookman Old Style" w:hAnsi="Bookman Old Style"/>
              </w:rPr>
            </w:pPr>
          </w:p>
        </w:tc>
      </w:tr>
    </w:tbl>
    <w:p w:rsidR="003B252B" w:rsidRPr="00CE11BC" w:rsidRDefault="003B252B" w:rsidP="003B252B">
      <w:pPr>
        <w:ind w:left="-426" w:right="282" w:firstLine="851"/>
        <w:jc w:val="both"/>
        <w:rPr>
          <w:rFonts w:ascii="Bookman Old Style" w:hAnsi="Bookman Old Style"/>
        </w:rPr>
      </w:pPr>
    </w:p>
    <w:p w:rsidR="003B252B" w:rsidRPr="00E52484" w:rsidRDefault="003B252B" w:rsidP="003B252B">
      <w:pPr>
        <w:ind w:left="-426" w:right="282" w:firstLine="851"/>
        <w:jc w:val="both"/>
        <w:rPr>
          <w:rFonts w:ascii="Bookman Old Style" w:hAnsi="Bookman Old Style"/>
          <w:sz w:val="18"/>
        </w:rPr>
      </w:pPr>
      <w:r w:rsidRPr="00E52484">
        <w:rPr>
          <w:rFonts w:ascii="Bookman Old Style" w:hAnsi="Bookman Old Style"/>
          <w:sz w:val="18"/>
        </w:rPr>
        <w:t>*</w:t>
      </w:r>
      <w:r w:rsidRPr="00E52484">
        <w:rPr>
          <w:rFonts w:ascii="Bookman Old Style" w:hAnsi="Bookman Old Style"/>
          <w:color w:val="000000"/>
          <w:sz w:val="18"/>
        </w:rPr>
        <w:t xml:space="preserve">Pastaba. </w:t>
      </w:r>
      <w:r w:rsidRPr="00E52484">
        <w:rPr>
          <w:rFonts w:ascii="Bookman Old Style" w:hAnsi="Bookman Old Style"/>
          <w:sz w:val="18"/>
        </w:rPr>
        <w:t>Šis dokumentas teikiamas pasirašytas raštu arba kvalifikuotu elektroniniu parašu. Tais atvejais, kai visas prašymas su pridedamais dokumentais pasirašomas kvalifikuotu elektroniniu parašu, šio dokumento atskirai pasirašyti neprivaloma.</w:t>
      </w:r>
    </w:p>
    <w:p w:rsidR="003B252B" w:rsidRDefault="003B252B" w:rsidP="003B252B">
      <w:pPr>
        <w:pStyle w:val="ListParagraph"/>
        <w:tabs>
          <w:tab w:val="left" w:pos="1418"/>
        </w:tabs>
        <w:ind w:left="-426" w:right="282"/>
        <w:jc w:val="right"/>
        <w:rPr>
          <w:rFonts w:ascii="Bookman Old Style" w:hAnsi="Bookman Old Style"/>
        </w:rPr>
      </w:pPr>
      <w:r w:rsidRPr="00E52484">
        <w:rPr>
          <w:rFonts w:ascii="Bookman Old Style" w:hAnsi="Bookman Old Style"/>
        </w:rPr>
        <w:br w:type="page"/>
      </w:r>
      <w:r>
        <w:rPr>
          <w:rFonts w:ascii="Bookman Old Style" w:hAnsi="Bookman Old Style"/>
        </w:rPr>
        <w:lastRenderedPageBreak/>
        <w:t>Prašymo 1 priedas</w:t>
      </w:r>
    </w:p>
    <w:p w:rsidR="003B252B" w:rsidRDefault="003B252B" w:rsidP="003B252B">
      <w:pPr>
        <w:pStyle w:val="ListParagraph"/>
        <w:tabs>
          <w:tab w:val="left" w:pos="1418"/>
        </w:tabs>
        <w:ind w:left="-426" w:right="282"/>
        <w:jc w:val="right"/>
        <w:rPr>
          <w:rFonts w:ascii="Bookman Old Style" w:hAnsi="Bookman Old Style"/>
        </w:rPr>
      </w:pPr>
    </w:p>
    <w:tbl>
      <w:tblPr>
        <w:tblW w:w="11291" w:type="dxa"/>
        <w:tblInd w:w="-810" w:type="dxa"/>
        <w:tblLook w:val="04A0" w:firstRow="1" w:lastRow="0" w:firstColumn="1" w:lastColumn="0" w:noHBand="0" w:noVBand="1"/>
      </w:tblPr>
      <w:tblGrid>
        <w:gridCol w:w="960"/>
        <w:gridCol w:w="3420"/>
        <w:gridCol w:w="1022"/>
        <w:gridCol w:w="678"/>
        <w:gridCol w:w="739"/>
        <w:gridCol w:w="2552"/>
        <w:gridCol w:w="960"/>
        <w:gridCol w:w="960"/>
      </w:tblGrid>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8411" w:type="dxa"/>
            <w:gridSpan w:val="5"/>
            <w:tcBorders>
              <w:top w:val="nil"/>
              <w:left w:val="nil"/>
              <w:bottom w:val="nil"/>
              <w:right w:val="nil"/>
            </w:tcBorders>
            <w:shd w:val="clear" w:color="auto" w:fill="auto"/>
            <w:noWrap/>
            <w:vAlign w:val="bottom"/>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operatoriaus</w:t>
            </w:r>
            <w:r w:rsidRPr="008001F2">
              <w:rPr>
                <w:rFonts w:ascii="Bookman Old Style" w:eastAsia="Times New Roman" w:hAnsi="Bookman Old Style" w:cs="Times New Roman"/>
                <w:color w:val="000000"/>
                <w:sz w:val="20"/>
                <w:szCs w:val="20"/>
              </w:rPr>
              <w:t xml:space="preserve"> pavadinimas)</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700"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291"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8411" w:type="dxa"/>
            <w:gridSpan w:val="5"/>
            <w:tcBorders>
              <w:top w:val="nil"/>
              <w:left w:val="nil"/>
              <w:bottom w:val="nil"/>
              <w:right w:val="nil"/>
            </w:tcBorders>
            <w:shd w:val="clear" w:color="auto" w:fill="auto"/>
            <w:noWrap/>
            <w:vAlign w:val="bottom"/>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(data)</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700"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291"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300"/>
        </w:trPr>
        <w:tc>
          <w:tcPr>
            <w:tcW w:w="9371" w:type="dxa"/>
            <w:gridSpan w:val="6"/>
            <w:tcBorders>
              <w:top w:val="nil"/>
              <w:left w:val="nil"/>
              <w:bottom w:val="nil"/>
              <w:right w:val="nil"/>
            </w:tcBorders>
            <w:shd w:val="clear" w:color="auto" w:fill="auto"/>
            <w:noWrap/>
            <w:vAlign w:val="bottom"/>
            <w:hideMark/>
          </w:tcPr>
          <w:p w:rsidR="003B252B" w:rsidRPr="009A4343" w:rsidRDefault="003B252B" w:rsidP="003B252B">
            <w:pPr>
              <w:ind w:left="-426" w:right="282"/>
              <w:jc w:val="center"/>
              <w:rPr>
                <w:rFonts w:ascii="Bookman Old Style" w:eastAsia="Times New Roman" w:hAnsi="Bookman Old Style" w:cs="Times New Roman"/>
                <w:b/>
                <w:color w:val="000000"/>
                <w:sz w:val="20"/>
                <w:szCs w:val="20"/>
              </w:rPr>
            </w:pPr>
            <w:r>
              <w:rPr>
                <w:rFonts w:ascii="Bookman Old Style" w:eastAsia="Times New Roman" w:hAnsi="Bookman Old Style" w:cs="Times New Roman"/>
                <w:b/>
                <w:color w:val="000000"/>
                <w:sz w:val="20"/>
                <w:szCs w:val="20"/>
              </w:rPr>
              <w:t xml:space="preserve">Pažyma </w:t>
            </w:r>
            <w:r w:rsidRPr="000F1CBC">
              <w:rPr>
                <w:rFonts w:ascii="Bookman Old Style" w:eastAsia="Times New Roman" w:hAnsi="Bookman Old Style" w:cs="Times New Roman"/>
                <w:b/>
                <w:color w:val="000000"/>
                <w:sz w:val="20"/>
                <w:szCs w:val="20"/>
              </w:rPr>
              <w:t xml:space="preserve">apie </w:t>
            </w:r>
            <w:r>
              <w:rPr>
                <w:rFonts w:ascii="Bookman Old Style" w:eastAsia="Times New Roman" w:hAnsi="Bookman Old Style" w:cs="Times New Roman"/>
                <w:b/>
                <w:color w:val="000000"/>
                <w:sz w:val="20"/>
                <w:szCs w:val="20"/>
              </w:rPr>
              <w:t>atitikimą reikalavimams</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439" w:type="dxa"/>
            <w:gridSpan w:val="3"/>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439" w:type="dxa"/>
            <w:gridSpan w:val="3"/>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6819" w:type="dxa"/>
            <w:gridSpan w:val="5"/>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4442"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417"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81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Nr.</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Reikalavimai:</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TAIP / NE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Paaiškinimai, pastabos</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76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1.</w:t>
            </w:r>
          </w:p>
        </w:tc>
        <w:tc>
          <w:tcPr>
            <w:tcW w:w="4442" w:type="dxa"/>
            <w:gridSpan w:val="2"/>
            <w:tcBorders>
              <w:top w:val="nil"/>
              <w:left w:val="nil"/>
              <w:bottom w:val="single" w:sz="4" w:space="0" w:color="auto"/>
              <w:right w:val="single" w:sz="4" w:space="0" w:color="auto"/>
            </w:tcBorders>
            <w:shd w:val="clear" w:color="auto" w:fill="auto"/>
            <w:hideMark/>
          </w:tcPr>
          <w:p w:rsidR="003B252B" w:rsidRPr="00954DF5" w:rsidRDefault="003B252B" w:rsidP="003B252B">
            <w:pPr>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operatorius</w:t>
            </w:r>
            <w:r w:rsidRPr="008001F2">
              <w:rPr>
                <w:rFonts w:ascii="Bookman Old Style" w:eastAsia="Times New Roman" w:hAnsi="Bookman Old Style" w:cs="Times New Roman"/>
                <w:color w:val="000000"/>
                <w:sz w:val="20"/>
                <w:szCs w:val="20"/>
              </w:rPr>
              <w:t xml:space="preserve"> </w:t>
            </w:r>
            <w:r w:rsidRPr="00954DF5">
              <w:rPr>
                <w:rFonts w:ascii="Bookman Old Style" w:eastAsia="Times New Roman" w:hAnsi="Bookman Old Style" w:cs="Times New Roman"/>
                <w:color w:val="000000"/>
                <w:sz w:val="20"/>
                <w:szCs w:val="20"/>
              </w:rPr>
              <w:t>yra įrašytas į Lietuvos viešąjį sutelktinio finansavimo platformų operatorių sąrašą</w:t>
            </w:r>
          </w:p>
        </w:tc>
        <w:tc>
          <w:tcPr>
            <w:tcW w:w="1417" w:type="dxa"/>
            <w:gridSpan w:val="2"/>
            <w:tcBorders>
              <w:top w:val="nil"/>
              <w:left w:val="nil"/>
              <w:bottom w:val="single" w:sz="4" w:space="0" w:color="auto"/>
              <w:right w:val="single" w:sz="4" w:space="0" w:color="auto"/>
            </w:tcBorders>
            <w:shd w:val="clear" w:color="auto" w:fill="auto"/>
            <w:vAlign w:val="center"/>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tcPr>
          <w:p w:rsidR="003B252B" w:rsidRPr="008001F2" w:rsidRDefault="003B252B" w:rsidP="003B252B">
            <w:pPr>
              <w:ind w:left="-426" w:right="282"/>
              <w:jc w:val="both"/>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54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2.</w:t>
            </w:r>
          </w:p>
        </w:tc>
        <w:tc>
          <w:tcPr>
            <w:tcW w:w="4442" w:type="dxa"/>
            <w:gridSpan w:val="2"/>
            <w:tcBorders>
              <w:top w:val="nil"/>
              <w:left w:val="nil"/>
              <w:bottom w:val="single" w:sz="4" w:space="0" w:color="auto"/>
              <w:right w:val="single" w:sz="4" w:space="0" w:color="auto"/>
            </w:tcBorders>
            <w:shd w:val="clear" w:color="auto" w:fill="auto"/>
            <w:hideMark/>
          </w:tcPr>
          <w:p w:rsidR="003B252B" w:rsidRPr="00954DF5" w:rsidRDefault="003B252B" w:rsidP="003B252B">
            <w:pPr>
              <w:tabs>
                <w:tab w:val="left" w:pos="0"/>
              </w:tabs>
              <w:contextualSpacing/>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operatorius</w:t>
            </w:r>
            <w:r w:rsidRPr="008001F2">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 xml:space="preserve">paskutinius 4 mėnesius </w:t>
            </w:r>
            <w:r w:rsidRPr="00954DF5">
              <w:rPr>
                <w:rFonts w:ascii="Bookman Old Style" w:eastAsia="Times New Roman" w:hAnsi="Bookman Old Style" w:cs="Times New Roman"/>
                <w:color w:val="000000"/>
                <w:sz w:val="20"/>
                <w:szCs w:val="20"/>
              </w:rPr>
              <w:t>vykd</w:t>
            </w:r>
            <w:r>
              <w:rPr>
                <w:rFonts w:ascii="Bookman Old Style" w:eastAsia="Times New Roman" w:hAnsi="Bookman Old Style" w:cs="Times New Roman"/>
                <w:color w:val="000000"/>
                <w:sz w:val="20"/>
                <w:szCs w:val="20"/>
              </w:rPr>
              <w:t>ė</w:t>
            </w:r>
            <w:r w:rsidRPr="00954DF5">
              <w:rPr>
                <w:rFonts w:ascii="Bookman Old Style" w:eastAsia="Times New Roman" w:hAnsi="Bookman Old Style" w:cs="Times New Roman"/>
                <w:color w:val="000000"/>
                <w:sz w:val="20"/>
                <w:szCs w:val="20"/>
              </w:rPr>
              <w:t xml:space="preserve"> sutelktinio finansavimo platformos operatoriaus veiklos riziką ribojančius reikalavimus, nustatytus Sutelktinio finansavimo įstatymo 7 straipsnyje</w:t>
            </w:r>
          </w:p>
        </w:tc>
        <w:tc>
          <w:tcPr>
            <w:tcW w:w="1417" w:type="dxa"/>
            <w:gridSpan w:val="2"/>
            <w:tcBorders>
              <w:top w:val="nil"/>
              <w:left w:val="nil"/>
              <w:bottom w:val="single" w:sz="4" w:space="0" w:color="auto"/>
              <w:right w:val="single" w:sz="4" w:space="0" w:color="auto"/>
            </w:tcBorders>
            <w:shd w:val="clear" w:color="auto" w:fill="auto"/>
            <w:vAlign w:val="center"/>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tcPr>
          <w:p w:rsidR="003B252B" w:rsidRPr="008001F2" w:rsidRDefault="003B252B" w:rsidP="003B252B">
            <w:pPr>
              <w:ind w:left="-426" w:right="282"/>
              <w:jc w:val="both"/>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12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3.</w:t>
            </w:r>
          </w:p>
        </w:tc>
        <w:tc>
          <w:tcPr>
            <w:tcW w:w="4442" w:type="dxa"/>
            <w:gridSpan w:val="2"/>
            <w:tcBorders>
              <w:top w:val="nil"/>
              <w:left w:val="nil"/>
              <w:bottom w:val="single" w:sz="4" w:space="0" w:color="auto"/>
              <w:right w:val="single" w:sz="4" w:space="0" w:color="auto"/>
            </w:tcBorders>
            <w:shd w:val="clear" w:color="auto" w:fill="auto"/>
            <w:hideMark/>
          </w:tcPr>
          <w:p w:rsidR="003B252B" w:rsidRPr="00954DF5" w:rsidRDefault="003B252B" w:rsidP="003B252B">
            <w:pPr>
              <w:tabs>
                <w:tab w:val="left" w:pos="317"/>
              </w:tabs>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operatorius</w:t>
            </w:r>
            <w:r w:rsidRPr="008001F2">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 xml:space="preserve">paskutinius 4 mėnesius </w:t>
            </w:r>
            <w:r w:rsidRPr="00954DF5">
              <w:rPr>
                <w:rFonts w:ascii="Bookman Old Style" w:eastAsia="Times New Roman" w:hAnsi="Bookman Old Style" w:cs="Times New Roman"/>
                <w:color w:val="000000"/>
                <w:sz w:val="20"/>
                <w:szCs w:val="20"/>
              </w:rPr>
              <w:t>vykd</w:t>
            </w:r>
            <w:r>
              <w:rPr>
                <w:rFonts w:ascii="Bookman Old Style" w:eastAsia="Times New Roman" w:hAnsi="Bookman Old Style" w:cs="Times New Roman"/>
                <w:color w:val="000000"/>
                <w:sz w:val="20"/>
                <w:szCs w:val="20"/>
              </w:rPr>
              <w:t>ė</w:t>
            </w:r>
            <w:r w:rsidRPr="00954DF5">
              <w:rPr>
                <w:rFonts w:ascii="Bookman Old Style" w:eastAsia="Times New Roman" w:hAnsi="Bookman Old Style" w:cs="Times New Roman"/>
                <w:color w:val="000000"/>
                <w:sz w:val="20"/>
                <w:szCs w:val="20"/>
              </w:rPr>
              <w:t xml:space="preserve"> reikalavimus sutelktinio finansavimo platformos operatoriaus dalyviams ir vadovams, nustatytus Sutelktinio finansavimo įstatymo 8 straipsnyje</w:t>
            </w:r>
          </w:p>
        </w:tc>
        <w:tc>
          <w:tcPr>
            <w:tcW w:w="1417" w:type="dxa"/>
            <w:gridSpan w:val="2"/>
            <w:tcBorders>
              <w:top w:val="nil"/>
              <w:left w:val="nil"/>
              <w:bottom w:val="single" w:sz="4" w:space="0" w:color="auto"/>
              <w:right w:val="single" w:sz="4" w:space="0" w:color="auto"/>
            </w:tcBorders>
            <w:shd w:val="clear" w:color="auto" w:fill="auto"/>
            <w:vAlign w:val="center"/>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tcPr>
          <w:p w:rsidR="003B252B" w:rsidRPr="008001F2" w:rsidRDefault="003B252B" w:rsidP="003B252B">
            <w:pPr>
              <w:ind w:left="-426" w:right="282"/>
              <w:jc w:val="both"/>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196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4.</w:t>
            </w:r>
          </w:p>
        </w:tc>
        <w:tc>
          <w:tcPr>
            <w:tcW w:w="4442" w:type="dxa"/>
            <w:gridSpan w:val="2"/>
            <w:tcBorders>
              <w:top w:val="nil"/>
              <w:left w:val="nil"/>
              <w:bottom w:val="single" w:sz="4" w:space="0" w:color="auto"/>
              <w:right w:val="single" w:sz="4" w:space="0" w:color="auto"/>
            </w:tcBorders>
            <w:shd w:val="clear" w:color="auto" w:fill="auto"/>
            <w:hideMark/>
          </w:tcPr>
          <w:p w:rsidR="003B252B" w:rsidRPr="00954DF5" w:rsidRDefault="003B252B" w:rsidP="003B252B">
            <w:pPr>
              <w:tabs>
                <w:tab w:val="left" w:pos="317"/>
              </w:tabs>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operatoriui</w:t>
            </w:r>
            <w:r w:rsidRPr="008001F2">
              <w:rPr>
                <w:rFonts w:ascii="Bookman Old Style" w:eastAsia="Times New Roman" w:hAnsi="Bookman Old Style" w:cs="Times New Roman"/>
                <w:color w:val="000000"/>
                <w:sz w:val="20"/>
                <w:szCs w:val="20"/>
              </w:rPr>
              <w:t xml:space="preserve"> </w:t>
            </w:r>
            <w:r w:rsidRPr="00FA3BDB">
              <w:rPr>
                <w:rFonts w:ascii="Bookman Old Style" w:eastAsia="Times New Roman" w:hAnsi="Bookman Old Style" w:cs="Times New Roman"/>
                <w:color w:val="000000"/>
                <w:sz w:val="20"/>
                <w:szCs w:val="20"/>
              </w:rPr>
              <w:t>nebuvo taikytos pov</w:t>
            </w:r>
            <w:r w:rsidRPr="00954DF5">
              <w:rPr>
                <w:rFonts w:ascii="Bookman Old Style" w:eastAsia="Times New Roman" w:hAnsi="Bookman Old Style" w:cs="Times New Roman"/>
                <w:color w:val="000000"/>
                <w:sz w:val="20"/>
                <w:szCs w:val="20"/>
              </w:rPr>
              <w:t>eikio priemonės, išskyrus įspėjimą, po paskutinio veiklos patikrinimo</w:t>
            </w:r>
            <w:r>
              <w:rPr>
                <w:rFonts w:ascii="Bookman Old Style" w:eastAsia="Times New Roman" w:hAnsi="Bookman Old Style" w:cs="Times New Roman"/>
                <w:color w:val="000000"/>
                <w:sz w:val="20"/>
                <w:szCs w:val="20"/>
              </w:rPr>
              <w:t xml:space="preserve"> (žymima TAIP, jeigu poveikio priemonės, išskyrus įspėjimą, nebuvo taikytos; NE – jeigu buvo taikytos kitos negu įspėjimas poveikio priemonės) </w:t>
            </w:r>
          </w:p>
        </w:tc>
        <w:tc>
          <w:tcPr>
            <w:tcW w:w="1417" w:type="dxa"/>
            <w:gridSpan w:val="2"/>
            <w:tcBorders>
              <w:top w:val="nil"/>
              <w:left w:val="nil"/>
              <w:bottom w:val="single" w:sz="4" w:space="0" w:color="auto"/>
              <w:right w:val="single" w:sz="4" w:space="0" w:color="auto"/>
            </w:tcBorders>
            <w:shd w:val="clear" w:color="auto" w:fill="auto"/>
            <w:vAlign w:val="center"/>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tcPr>
          <w:p w:rsidR="003B252B" w:rsidRPr="008001F2" w:rsidRDefault="003B252B" w:rsidP="003B252B">
            <w:pPr>
              <w:ind w:left="-426" w:right="282"/>
              <w:jc w:val="both"/>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8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5</w:t>
            </w:r>
            <w:r w:rsidRPr="008001F2">
              <w:rPr>
                <w:rFonts w:ascii="Bookman Old Style" w:eastAsia="Times New Roman" w:hAnsi="Bookman Old Style" w:cs="Times New Roman"/>
                <w:color w:val="000000"/>
                <w:sz w:val="20"/>
                <w:szCs w:val="20"/>
              </w:rPr>
              <w:t>.</w:t>
            </w:r>
          </w:p>
        </w:tc>
        <w:tc>
          <w:tcPr>
            <w:tcW w:w="4442" w:type="dxa"/>
            <w:gridSpan w:val="2"/>
            <w:tcBorders>
              <w:top w:val="nil"/>
              <w:left w:val="nil"/>
              <w:bottom w:val="single" w:sz="4" w:space="0" w:color="auto"/>
              <w:right w:val="single" w:sz="4" w:space="0" w:color="auto"/>
            </w:tcBorders>
            <w:shd w:val="clear" w:color="auto" w:fill="auto"/>
            <w:hideMark/>
          </w:tcPr>
          <w:p w:rsidR="003B252B" w:rsidRPr="00954DF5" w:rsidRDefault="003B252B" w:rsidP="003B252B">
            <w:pPr>
              <w:jc w:val="both"/>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operatoriaus</w:t>
            </w:r>
            <w:r w:rsidRPr="008001F2">
              <w:rPr>
                <w:rFonts w:ascii="Bookman Old Style" w:eastAsia="Times New Roman" w:hAnsi="Bookman Old Style" w:cs="Times New Roman"/>
                <w:color w:val="000000"/>
                <w:sz w:val="20"/>
                <w:szCs w:val="20"/>
              </w:rPr>
              <w:t xml:space="preserve"> </w:t>
            </w:r>
            <w:r w:rsidRPr="00954DF5">
              <w:rPr>
                <w:rFonts w:ascii="Bookman Old Style" w:eastAsia="Times New Roman" w:hAnsi="Bookman Old Style" w:cs="Times New Roman"/>
                <w:color w:val="000000"/>
                <w:sz w:val="20"/>
                <w:szCs w:val="20"/>
              </w:rPr>
              <w:t>paskutiniųjų metų nepriklausomų auditorių išvada buvo be išlygų</w:t>
            </w:r>
            <w:r>
              <w:rPr>
                <w:rFonts w:ascii="Bookman Old Style" w:eastAsia="Times New Roman" w:hAnsi="Bookman Old Style" w:cs="Times New Roman"/>
                <w:color w:val="000000"/>
                <w:sz w:val="20"/>
                <w:szCs w:val="20"/>
              </w:rPr>
              <w:t>. Jeigu sutelktinio finansavimo platformos operatorius vykdo veiklą nepilnus finansinius metus, pateikiama nepriklausomų auditorių išvada už nepilnus finansinius metus</w:t>
            </w:r>
          </w:p>
        </w:tc>
        <w:tc>
          <w:tcPr>
            <w:tcW w:w="1417" w:type="dxa"/>
            <w:gridSpan w:val="2"/>
            <w:tcBorders>
              <w:top w:val="nil"/>
              <w:left w:val="nil"/>
              <w:bottom w:val="single" w:sz="4" w:space="0" w:color="auto"/>
              <w:right w:val="single" w:sz="4" w:space="0" w:color="auto"/>
            </w:tcBorders>
            <w:shd w:val="clear" w:color="auto" w:fill="auto"/>
            <w:noWrap/>
            <w:hideMark/>
          </w:tcPr>
          <w:p w:rsidR="003B252B" w:rsidRPr="008001F2" w:rsidRDefault="003B252B" w:rsidP="003B252B">
            <w:pPr>
              <w:ind w:left="-426" w:right="282"/>
              <w:jc w:val="center"/>
              <w:rPr>
                <w:rFonts w:ascii="Bookman Old Style" w:eastAsia="Times New Roman" w:hAnsi="Bookman Old Style"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noWrap/>
            <w:hideMark/>
          </w:tcPr>
          <w:p w:rsidR="003B252B" w:rsidRPr="009A4343" w:rsidRDefault="003B252B" w:rsidP="003B252B">
            <w:pPr>
              <w:ind w:left="-426" w:right="282"/>
              <w:rPr>
                <w:rFonts w:ascii="Bookman Old Style" w:eastAsia="Times New Roman" w:hAnsi="Bookman Old Style" w:cs="Times New Roman"/>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4442"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417"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4442"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417"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5402" w:type="dxa"/>
            <w:gridSpan w:val="3"/>
            <w:tcBorders>
              <w:top w:val="nil"/>
              <w:left w:val="nil"/>
              <w:bottom w:val="nil"/>
              <w:right w:val="nil"/>
            </w:tcBorders>
            <w:shd w:val="clear" w:color="auto" w:fill="auto"/>
            <w:noWrap/>
            <w:vAlign w:val="bottom"/>
            <w:hideMark/>
          </w:tcPr>
          <w:p w:rsidR="003B252B" w:rsidRPr="008001F2" w:rsidRDefault="003B252B" w:rsidP="003B252B">
            <w:pPr>
              <w:ind w:left="135" w:right="282"/>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Sutelktinio finansavimo platformos operatoriaus</w:t>
            </w:r>
            <w:r w:rsidRPr="008001F2">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atstovas:</w:t>
            </w:r>
          </w:p>
        </w:tc>
        <w:tc>
          <w:tcPr>
            <w:tcW w:w="1417"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4442"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417"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2552"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10331" w:type="dxa"/>
            <w:gridSpan w:val="7"/>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_________________________         _________________________         ___________________________</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700"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291"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371" w:type="dxa"/>
            <w:gridSpan w:val="6"/>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r w:rsidRPr="008001F2">
              <w:rPr>
                <w:rFonts w:ascii="Bookman Old Style" w:eastAsia="Times New Roman" w:hAnsi="Bookman Old Style" w:cs="Times New Roman"/>
                <w:color w:val="000000"/>
                <w:sz w:val="20"/>
                <w:szCs w:val="20"/>
              </w:rPr>
              <w:t xml:space="preserve">           (pareigos)                                 (parašas)                              (vardas pavardė)</w:t>
            </w: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r w:rsidR="003B252B" w:rsidRPr="008001F2" w:rsidTr="00C2493C">
        <w:trPr>
          <w:trHeight w:val="255"/>
        </w:trPr>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42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1700"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3291" w:type="dxa"/>
            <w:gridSpan w:val="2"/>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c>
          <w:tcPr>
            <w:tcW w:w="960" w:type="dxa"/>
            <w:tcBorders>
              <w:top w:val="nil"/>
              <w:left w:val="nil"/>
              <w:bottom w:val="nil"/>
              <w:right w:val="nil"/>
            </w:tcBorders>
            <w:shd w:val="clear" w:color="auto" w:fill="auto"/>
            <w:noWrap/>
            <w:vAlign w:val="bottom"/>
            <w:hideMark/>
          </w:tcPr>
          <w:p w:rsidR="003B252B" w:rsidRPr="008001F2" w:rsidRDefault="003B252B" w:rsidP="003B252B">
            <w:pPr>
              <w:ind w:left="-426" w:right="282"/>
              <w:rPr>
                <w:rFonts w:ascii="Bookman Old Style" w:eastAsia="Times New Roman" w:hAnsi="Bookman Old Style" w:cs="Times New Roman"/>
                <w:color w:val="000000"/>
                <w:sz w:val="20"/>
                <w:szCs w:val="20"/>
              </w:rPr>
            </w:pPr>
          </w:p>
        </w:tc>
      </w:tr>
    </w:tbl>
    <w:p w:rsidR="003B252B" w:rsidRDefault="003B252B" w:rsidP="003B252B">
      <w:pPr>
        <w:spacing w:after="160" w:line="259" w:lineRule="auto"/>
        <w:ind w:left="-426" w:right="282"/>
        <w:rPr>
          <w:rFonts w:ascii="Bookman Old Style" w:hAnsi="Bookman Old Style" w:cs="Times New Roman"/>
        </w:rPr>
      </w:pPr>
      <w:bookmarkStart w:id="0" w:name="_GoBack"/>
      <w:bookmarkEnd w:id="0"/>
    </w:p>
    <w:sectPr w:rsidR="003B25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F515A"/>
    <w:multiLevelType w:val="multilevel"/>
    <w:tmpl w:val="53EE6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2B"/>
    <w:rsid w:val="003B252B"/>
    <w:rsid w:val="008614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2DA15-3E75-4628-9737-B28D2A5E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2B"/>
    <w:pPr>
      <w:spacing w:after="0" w:line="240" w:lineRule="auto"/>
    </w:pPr>
    <w:rPr>
      <w:rFonts w:ascii="Calibri" w:hAnsi="Calibri" w:cs="Calibri"/>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52B"/>
    <w:pPr>
      <w:ind w:left="720"/>
      <w:contextualSpacing/>
    </w:pPr>
  </w:style>
  <w:style w:type="paragraph" w:styleId="Header">
    <w:name w:val="header"/>
    <w:basedOn w:val="Normal"/>
    <w:link w:val="HeaderChar"/>
    <w:rsid w:val="003B252B"/>
    <w:pPr>
      <w:widowControl w:val="0"/>
      <w:tabs>
        <w:tab w:val="center" w:pos="4153"/>
        <w:tab w:val="right" w:pos="8306"/>
      </w:tabs>
      <w:spacing w:after="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B252B"/>
    <w:rPr>
      <w:rFonts w:ascii="Times New Roman" w:eastAsia="Times New Roman" w:hAnsi="Times New Roman" w:cs="Times New Roman"/>
      <w:sz w:val="24"/>
      <w:szCs w:val="20"/>
      <w:lang w:eastAsia="lt-LT"/>
    </w:rPr>
  </w:style>
  <w:style w:type="paragraph" w:customStyle="1" w:styleId="BodyText1">
    <w:name w:val="Body Text1"/>
    <w:rsid w:val="003B252B"/>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6356</Words>
  <Characters>3623</Characters>
  <Application>Microsoft Office Word</Application>
  <DocSecurity>0</DocSecurity>
  <Lines>30</Lines>
  <Paragraphs>19</Paragraphs>
  <ScaleCrop>false</ScaleCrop>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Šveikauskienė</dc:creator>
  <cp:keywords/>
  <dc:description/>
  <cp:lastModifiedBy>Vilija Šveikauskienė</cp:lastModifiedBy>
  <cp:revision>1</cp:revision>
  <dcterms:created xsi:type="dcterms:W3CDTF">2018-04-05T07:20:00Z</dcterms:created>
  <dcterms:modified xsi:type="dcterms:W3CDTF">2018-04-05T07:27:00Z</dcterms:modified>
</cp:coreProperties>
</file>