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B60DED7" w14:textId="77777777" w:rsidR="00922C88" w:rsidRPr="00CE78DE" w:rsidRDefault="004E47A2" w:rsidP="00922C88">
      <w:pPr>
        <w:tabs>
          <w:tab w:val="left" w:pos="1560"/>
        </w:tabs>
        <w:spacing w:after="0" w:line="240" w:lineRule="auto"/>
        <w:ind w:firstLine="5103"/>
        <w:rPr>
          <w:rFonts w:ascii="Bookman Old Style" w:eastAsia="Times New Roman" w:hAnsi="Bookman Old Style"/>
          <w:sz w:val="20"/>
          <w:szCs w:val="20"/>
        </w:rPr>
      </w:pPr>
      <w:r w:rsidRPr="00CE78DE">
        <w:rPr>
          <w:rFonts w:ascii="Bookman Old Style" w:eastAsia="Times New Roman" w:hAnsi="Bookman Old Style"/>
          <w:sz w:val="20"/>
          <w:szCs w:val="20"/>
          <w:lang w:val="en-US"/>
        </w:rPr>
        <w:t>APPROVED</w:t>
      </w:r>
    </w:p>
    <w:p w14:paraId="2919D709" w14:textId="025E9484" w:rsidR="000531C1" w:rsidRPr="002C5041" w:rsidRDefault="000531C1" w:rsidP="000531C1">
      <w:pPr>
        <w:tabs>
          <w:tab w:val="left" w:pos="1560"/>
        </w:tabs>
        <w:spacing w:after="0" w:line="240" w:lineRule="auto"/>
        <w:ind w:left="5103"/>
        <w:rPr>
          <w:rFonts w:ascii="Bookman Old Style" w:eastAsia="Times New Roman" w:hAnsi="Bookman Old Style"/>
          <w:sz w:val="20"/>
          <w:szCs w:val="20"/>
        </w:rPr>
      </w:pPr>
      <w:r>
        <w:rPr>
          <w:rFonts w:ascii="Bookman Old Style" w:eastAsia="Times New Roman" w:hAnsi="Bookman Old Style"/>
          <w:sz w:val="20"/>
          <w:szCs w:val="20"/>
          <w:lang w:val="en-US"/>
        </w:rPr>
        <w:t>b</w:t>
      </w:r>
      <w:r w:rsidRPr="002C5041">
        <w:rPr>
          <w:rFonts w:ascii="Bookman Old Style" w:eastAsia="Times New Roman" w:hAnsi="Bookman Old Style"/>
          <w:sz w:val="20"/>
          <w:szCs w:val="20"/>
          <w:lang w:val="en-US"/>
        </w:rPr>
        <w:t>y</w:t>
      </w:r>
      <w:r>
        <w:rPr>
          <w:rFonts w:ascii="Bookman Old Style" w:eastAsia="Times New Roman" w:hAnsi="Bookman Old Style"/>
          <w:sz w:val="20"/>
          <w:szCs w:val="20"/>
          <w:lang w:val="en-US"/>
        </w:rPr>
        <w:t xml:space="preserve"> the</w:t>
      </w:r>
      <w:r w:rsidRPr="002C5041">
        <w:rPr>
          <w:rFonts w:ascii="Bookman Old Style" w:eastAsia="Times New Roman" w:hAnsi="Bookman Old Style"/>
          <w:sz w:val="20"/>
          <w:szCs w:val="20"/>
          <w:lang w:val="en-US"/>
        </w:rPr>
        <w:t xml:space="preserve"> Order No</w:t>
      </w:r>
      <w:proofErr w:type="gramStart"/>
      <w:r>
        <w:rPr>
          <w:rFonts w:ascii="Bookman Old Style" w:eastAsia="Times New Roman" w:hAnsi="Bookman Old Style"/>
          <w:sz w:val="20"/>
          <w:szCs w:val="20"/>
          <w:lang w:val="en-US"/>
        </w:rPr>
        <w:t>….of</w:t>
      </w:r>
      <w:proofErr w:type="gramEnd"/>
      <w:r>
        <w:rPr>
          <w:rFonts w:ascii="Bookman Old Style" w:eastAsia="Times New Roman" w:hAnsi="Bookman Old Style"/>
          <w:sz w:val="20"/>
          <w:szCs w:val="20"/>
          <w:lang w:val="en-US"/>
        </w:rPr>
        <w:t xml:space="preserve"> ……..……</w:t>
      </w:r>
      <w:r w:rsidRPr="002C5041">
        <w:rPr>
          <w:rFonts w:ascii="Bookman Old Style" w:eastAsia="Times New Roman" w:hAnsi="Bookman Old Style"/>
          <w:sz w:val="20"/>
          <w:szCs w:val="20"/>
          <w:lang w:val="en-US"/>
        </w:rPr>
        <w:t xml:space="preserve">2020 </w:t>
      </w:r>
    </w:p>
    <w:p w14:paraId="698BE810" w14:textId="30224F9A" w:rsidR="000531C1" w:rsidRPr="00CE78DE" w:rsidRDefault="000531C1" w:rsidP="000531C1">
      <w:pPr>
        <w:tabs>
          <w:tab w:val="left" w:pos="1560"/>
        </w:tabs>
        <w:spacing w:after="0" w:line="240" w:lineRule="auto"/>
        <w:ind w:firstLine="5103"/>
        <w:rPr>
          <w:rFonts w:ascii="Bookman Old Style" w:eastAsia="Times New Roman" w:hAnsi="Bookman Old Style"/>
          <w:sz w:val="20"/>
          <w:szCs w:val="20"/>
        </w:rPr>
      </w:pPr>
      <w:r>
        <w:rPr>
          <w:rFonts w:ascii="Bookman Old Style" w:eastAsia="Times New Roman" w:hAnsi="Bookman Old Style"/>
          <w:sz w:val="20"/>
          <w:szCs w:val="20"/>
          <w:lang w:val="en-US"/>
        </w:rPr>
        <w:t xml:space="preserve">of </w:t>
      </w:r>
      <w:r w:rsidRPr="00CE78DE">
        <w:rPr>
          <w:rFonts w:ascii="Bookman Old Style" w:eastAsia="Times New Roman" w:hAnsi="Bookman Old Style"/>
          <w:sz w:val="20"/>
          <w:szCs w:val="20"/>
          <w:lang w:val="en-US"/>
        </w:rPr>
        <w:t>the Director-General</w:t>
      </w:r>
      <w:r>
        <w:rPr>
          <w:rFonts w:ascii="Bookman Old Style" w:eastAsia="Times New Roman" w:hAnsi="Bookman Old Style"/>
          <w:sz w:val="20"/>
          <w:szCs w:val="20"/>
          <w:lang w:val="en-US"/>
        </w:rPr>
        <w:t xml:space="preserve"> of</w:t>
      </w:r>
    </w:p>
    <w:p w14:paraId="4E51EAF8" w14:textId="5F5B39A7" w:rsidR="00922C88" w:rsidRPr="00CE78DE" w:rsidRDefault="004E47A2" w:rsidP="00922C88">
      <w:pPr>
        <w:tabs>
          <w:tab w:val="left" w:pos="1560"/>
        </w:tabs>
        <w:spacing w:after="0" w:line="240" w:lineRule="auto"/>
        <w:ind w:firstLine="5103"/>
        <w:rPr>
          <w:rFonts w:ascii="Bookman Old Style" w:eastAsia="Times New Roman" w:hAnsi="Bookman Old Style"/>
          <w:sz w:val="20"/>
          <w:szCs w:val="20"/>
        </w:rPr>
      </w:pPr>
      <w:proofErr w:type="spellStart"/>
      <w:r w:rsidRPr="00CE78DE">
        <w:rPr>
          <w:rFonts w:ascii="Bookman Old Style" w:eastAsia="Times New Roman" w:hAnsi="Bookman Old Style"/>
          <w:sz w:val="20"/>
          <w:szCs w:val="20"/>
          <w:lang w:val="en-US"/>
        </w:rPr>
        <w:t>Investicijų</w:t>
      </w:r>
      <w:proofErr w:type="spellEnd"/>
      <w:r w:rsidRPr="00CE78DE">
        <w:rPr>
          <w:rFonts w:ascii="Bookman Old Style" w:eastAsia="Times New Roman" w:hAnsi="Bookman Old Style"/>
          <w:sz w:val="20"/>
          <w:szCs w:val="20"/>
          <w:lang w:val="en-US"/>
        </w:rPr>
        <w:t xml:space="preserve"> </w:t>
      </w:r>
      <w:proofErr w:type="spellStart"/>
      <w:r w:rsidRPr="00CE78DE">
        <w:rPr>
          <w:rFonts w:ascii="Bookman Old Style" w:eastAsia="Times New Roman" w:hAnsi="Bookman Old Style"/>
          <w:sz w:val="20"/>
          <w:szCs w:val="20"/>
          <w:lang w:val="en-US"/>
        </w:rPr>
        <w:t>ir</w:t>
      </w:r>
      <w:proofErr w:type="spellEnd"/>
      <w:r w:rsidRPr="00CE78DE">
        <w:rPr>
          <w:rFonts w:ascii="Bookman Old Style" w:eastAsia="Times New Roman" w:hAnsi="Bookman Old Style"/>
          <w:sz w:val="20"/>
          <w:szCs w:val="20"/>
          <w:lang w:val="en-US"/>
        </w:rPr>
        <w:t xml:space="preserve"> </w:t>
      </w:r>
      <w:proofErr w:type="spellStart"/>
      <w:r w:rsidRPr="00CE78DE">
        <w:rPr>
          <w:rFonts w:ascii="Bookman Old Style" w:eastAsia="Times New Roman" w:hAnsi="Bookman Old Style"/>
          <w:sz w:val="20"/>
          <w:szCs w:val="20"/>
          <w:lang w:val="en-US"/>
        </w:rPr>
        <w:t>verslo</w:t>
      </w:r>
      <w:proofErr w:type="spellEnd"/>
      <w:r w:rsidRPr="00CE78DE">
        <w:rPr>
          <w:rFonts w:ascii="Bookman Old Style" w:eastAsia="Times New Roman" w:hAnsi="Bookman Old Style"/>
          <w:sz w:val="20"/>
          <w:szCs w:val="20"/>
          <w:lang w:val="en-US"/>
        </w:rPr>
        <w:t xml:space="preserve"> garantijos UAB </w:t>
      </w:r>
    </w:p>
    <w:p w14:paraId="6FF23D68" w14:textId="77777777" w:rsidR="00524298" w:rsidRPr="00BA3BFF" w:rsidRDefault="00524298" w:rsidP="00922C88">
      <w:pPr>
        <w:tabs>
          <w:tab w:val="left" w:pos="1560"/>
        </w:tabs>
        <w:spacing w:after="0" w:line="240" w:lineRule="auto"/>
        <w:ind w:left="5103"/>
        <w:rPr>
          <w:rFonts w:ascii="Bookman Old Style" w:eastAsia="Times New Roman" w:hAnsi="Bookman Old Style"/>
          <w:sz w:val="20"/>
          <w:szCs w:val="20"/>
        </w:rPr>
      </w:pPr>
    </w:p>
    <w:p w14:paraId="3B2AC3A1" w14:textId="77777777" w:rsidR="00922C88" w:rsidRPr="00BA3BFF" w:rsidRDefault="00922C88" w:rsidP="00DC12B4">
      <w:pPr>
        <w:autoSpaceDE w:val="0"/>
        <w:autoSpaceDN w:val="0"/>
        <w:adjustRightInd w:val="0"/>
        <w:spacing w:after="0" w:line="240" w:lineRule="auto"/>
        <w:ind w:firstLine="851"/>
        <w:jc w:val="center"/>
        <w:rPr>
          <w:rFonts w:ascii="Times New Roman" w:hAnsi="Times New Roman"/>
          <w:b/>
          <w:iCs/>
          <w:sz w:val="24"/>
          <w:szCs w:val="24"/>
        </w:rPr>
      </w:pPr>
    </w:p>
    <w:p w14:paraId="729FD346" w14:textId="77777777" w:rsidR="00922C88" w:rsidRDefault="00922C88" w:rsidP="00DC12B4">
      <w:pPr>
        <w:autoSpaceDE w:val="0"/>
        <w:autoSpaceDN w:val="0"/>
        <w:adjustRightInd w:val="0"/>
        <w:spacing w:after="0" w:line="240" w:lineRule="auto"/>
        <w:ind w:firstLine="851"/>
        <w:jc w:val="center"/>
        <w:rPr>
          <w:rFonts w:ascii="Times New Roman" w:hAnsi="Times New Roman"/>
          <w:b/>
          <w:iCs/>
          <w:sz w:val="24"/>
          <w:szCs w:val="24"/>
        </w:rPr>
      </w:pPr>
    </w:p>
    <w:p w14:paraId="787911D2" w14:textId="77777777" w:rsidR="00922C88" w:rsidRDefault="00922C88" w:rsidP="00DC12B4">
      <w:pPr>
        <w:autoSpaceDE w:val="0"/>
        <w:autoSpaceDN w:val="0"/>
        <w:adjustRightInd w:val="0"/>
        <w:spacing w:after="0" w:line="240" w:lineRule="auto"/>
        <w:ind w:firstLine="851"/>
        <w:jc w:val="center"/>
        <w:rPr>
          <w:rFonts w:ascii="Times New Roman" w:hAnsi="Times New Roman"/>
          <w:b/>
          <w:iCs/>
          <w:sz w:val="24"/>
          <w:szCs w:val="24"/>
        </w:rPr>
      </w:pPr>
    </w:p>
    <w:p w14:paraId="57ADACFC" w14:textId="09DAB954" w:rsidR="005C059C" w:rsidRPr="00F10B29" w:rsidRDefault="004E47A2" w:rsidP="00981F3A">
      <w:pPr>
        <w:autoSpaceDE w:val="0"/>
        <w:autoSpaceDN w:val="0"/>
        <w:adjustRightInd w:val="0"/>
        <w:spacing w:after="0" w:line="240" w:lineRule="auto"/>
        <w:ind w:hanging="142"/>
        <w:jc w:val="center"/>
        <w:rPr>
          <w:rFonts w:ascii="Times New Roman" w:hAnsi="Times New Roman"/>
          <w:b/>
          <w:iCs/>
          <w:sz w:val="24"/>
          <w:szCs w:val="24"/>
        </w:rPr>
      </w:pPr>
      <w:r>
        <w:rPr>
          <w:rFonts w:ascii="Times New Roman" w:hAnsi="Times New Roman"/>
          <w:b/>
          <w:iCs/>
          <w:sz w:val="24"/>
          <w:szCs w:val="24"/>
          <w:lang w:val="en-US"/>
        </w:rPr>
        <w:t xml:space="preserve">DESCRIPTION OF </w:t>
      </w:r>
      <w:r w:rsidR="00F420A0">
        <w:rPr>
          <w:rFonts w:ascii="Times New Roman" w:hAnsi="Times New Roman"/>
          <w:b/>
          <w:iCs/>
          <w:sz w:val="24"/>
          <w:szCs w:val="24"/>
          <w:lang w:val="en-US"/>
        </w:rPr>
        <w:t xml:space="preserve">THE </w:t>
      </w:r>
      <w:r>
        <w:rPr>
          <w:rFonts w:ascii="Times New Roman" w:hAnsi="Times New Roman"/>
          <w:b/>
          <w:iCs/>
          <w:sz w:val="24"/>
          <w:szCs w:val="24"/>
          <w:lang w:val="en-US"/>
        </w:rPr>
        <w:t xml:space="preserve">CONDITIONS FOR THE IMPLEMENTATION OF THE FINANCIAL INCENTIVE </w:t>
      </w:r>
      <w:r w:rsidR="003F2A4B">
        <w:rPr>
          <w:rFonts w:ascii="Times New Roman" w:hAnsi="Times New Roman"/>
          <w:b/>
          <w:iCs/>
          <w:sz w:val="24"/>
          <w:szCs w:val="24"/>
          <w:lang w:val="en-US"/>
        </w:rPr>
        <w:t>INSTRUMENT</w:t>
      </w:r>
      <w:r>
        <w:rPr>
          <w:rFonts w:ascii="Times New Roman" w:hAnsi="Times New Roman"/>
          <w:b/>
          <w:iCs/>
          <w:sz w:val="24"/>
          <w:szCs w:val="24"/>
          <w:lang w:val="en-US"/>
        </w:rPr>
        <w:t xml:space="preserve"> “TRADE CREDIT INSURANCE PORTFOLIO GUARANTEE”</w:t>
      </w:r>
    </w:p>
    <w:p w14:paraId="3CD21797" w14:textId="77777777" w:rsidR="006968FD" w:rsidRPr="00F10B29" w:rsidRDefault="006968FD" w:rsidP="00DC12B4">
      <w:pPr>
        <w:autoSpaceDE w:val="0"/>
        <w:autoSpaceDN w:val="0"/>
        <w:adjustRightInd w:val="0"/>
        <w:spacing w:after="0" w:line="240" w:lineRule="auto"/>
        <w:ind w:firstLine="851"/>
        <w:jc w:val="center"/>
        <w:rPr>
          <w:rFonts w:ascii="Times New Roman" w:hAnsi="Times New Roman"/>
          <w:b/>
          <w:iCs/>
          <w:sz w:val="24"/>
          <w:szCs w:val="24"/>
        </w:rPr>
      </w:pPr>
    </w:p>
    <w:p w14:paraId="62DFBFBD" w14:textId="77777777" w:rsidR="006968FD" w:rsidRPr="00DC12B4" w:rsidRDefault="006968FD" w:rsidP="00DC12B4">
      <w:pPr>
        <w:autoSpaceDE w:val="0"/>
        <w:autoSpaceDN w:val="0"/>
        <w:adjustRightInd w:val="0"/>
        <w:spacing w:after="0" w:line="240" w:lineRule="auto"/>
        <w:ind w:firstLine="851"/>
        <w:jc w:val="center"/>
        <w:rPr>
          <w:rFonts w:ascii="Times New Roman" w:hAnsi="Times New Roman"/>
          <w:b/>
          <w:i/>
          <w:sz w:val="24"/>
          <w:szCs w:val="24"/>
        </w:rPr>
      </w:pPr>
    </w:p>
    <w:p w14:paraId="3CCBA53B" w14:textId="77777777" w:rsidR="00C366A5" w:rsidRDefault="004E47A2" w:rsidP="00BF7FC9">
      <w:pPr>
        <w:numPr>
          <w:ilvl w:val="0"/>
          <w:numId w:val="1"/>
        </w:numPr>
        <w:tabs>
          <w:tab w:val="left" w:pos="142"/>
          <w:tab w:val="left" w:pos="284"/>
        </w:tabs>
        <w:autoSpaceDE w:val="0"/>
        <w:autoSpaceDN w:val="0"/>
        <w:adjustRightInd w:val="0"/>
        <w:spacing w:after="0" w:line="240" w:lineRule="auto"/>
        <w:ind w:left="0" w:firstLine="0"/>
        <w:jc w:val="center"/>
        <w:rPr>
          <w:rFonts w:ascii="Times New Roman" w:hAnsi="Times New Roman"/>
          <w:b/>
          <w:bCs/>
          <w:sz w:val="24"/>
          <w:szCs w:val="24"/>
        </w:rPr>
      </w:pPr>
      <w:r>
        <w:rPr>
          <w:rFonts w:ascii="Times New Roman" w:hAnsi="Times New Roman"/>
          <w:b/>
          <w:bCs/>
          <w:sz w:val="24"/>
          <w:szCs w:val="24"/>
          <w:lang w:val="en-US"/>
        </w:rPr>
        <w:t>GENERAL PROVISIONS</w:t>
      </w:r>
    </w:p>
    <w:p w14:paraId="6B8E8DAA" w14:textId="77777777" w:rsidR="00042CE8" w:rsidRPr="002E1F2A" w:rsidRDefault="00042CE8" w:rsidP="00042CE8">
      <w:pPr>
        <w:autoSpaceDE w:val="0"/>
        <w:autoSpaceDN w:val="0"/>
        <w:adjustRightInd w:val="0"/>
        <w:spacing w:after="0" w:line="240" w:lineRule="auto"/>
        <w:jc w:val="both"/>
        <w:rPr>
          <w:rFonts w:ascii="Times New Roman" w:hAnsi="Times New Roman"/>
          <w:sz w:val="24"/>
          <w:szCs w:val="24"/>
        </w:rPr>
      </w:pPr>
    </w:p>
    <w:p w14:paraId="56DDACAA" w14:textId="54D60D9A" w:rsidR="00C54B79" w:rsidRPr="00DE79C1" w:rsidRDefault="004E47A2" w:rsidP="00035106">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b/>
          <w:bCs/>
          <w:sz w:val="24"/>
          <w:szCs w:val="24"/>
        </w:rPr>
      </w:pPr>
      <w:r>
        <w:rPr>
          <w:rFonts w:ascii="Times New Roman" w:hAnsi="Times New Roman"/>
          <w:sz w:val="24"/>
          <w:szCs w:val="24"/>
          <w:lang w:val="en-US"/>
        </w:rPr>
        <w:t xml:space="preserve">The Description of the </w:t>
      </w:r>
      <w:r w:rsidR="00F420A0">
        <w:rPr>
          <w:rFonts w:ascii="Times New Roman" w:hAnsi="Times New Roman"/>
          <w:sz w:val="24"/>
          <w:szCs w:val="24"/>
          <w:lang w:val="en-US"/>
        </w:rPr>
        <w:t>C</w:t>
      </w:r>
      <w:r>
        <w:rPr>
          <w:rFonts w:ascii="Times New Roman" w:hAnsi="Times New Roman"/>
          <w:sz w:val="24"/>
          <w:szCs w:val="24"/>
          <w:lang w:val="en-US"/>
        </w:rPr>
        <w:t xml:space="preserve">onditions for the </w:t>
      </w:r>
      <w:r w:rsidR="00F420A0">
        <w:rPr>
          <w:rFonts w:ascii="Times New Roman" w:hAnsi="Times New Roman"/>
          <w:sz w:val="24"/>
          <w:szCs w:val="24"/>
          <w:lang w:val="en-US"/>
        </w:rPr>
        <w:t>I</w:t>
      </w:r>
      <w:r>
        <w:rPr>
          <w:rFonts w:ascii="Times New Roman" w:hAnsi="Times New Roman"/>
          <w:sz w:val="24"/>
          <w:szCs w:val="24"/>
          <w:lang w:val="en-US"/>
        </w:rPr>
        <w:t xml:space="preserve">mplementation of the Financial </w:t>
      </w:r>
      <w:r w:rsidR="00D02C5D">
        <w:rPr>
          <w:rFonts w:ascii="Times New Roman" w:hAnsi="Times New Roman"/>
          <w:sz w:val="24"/>
          <w:szCs w:val="24"/>
          <w:lang w:val="en-US"/>
        </w:rPr>
        <w:t>Instrument</w:t>
      </w:r>
      <w:r>
        <w:rPr>
          <w:rFonts w:ascii="Times New Roman" w:hAnsi="Times New Roman"/>
          <w:sz w:val="24"/>
          <w:szCs w:val="24"/>
          <w:lang w:val="en-US"/>
        </w:rPr>
        <w:t xml:space="preserve"> “Trade Credit Insurance Portfolio Guarantee” (hereinafter referred to as the Description) </w:t>
      </w:r>
      <w:r w:rsidR="00F420A0">
        <w:rPr>
          <w:rFonts w:ascii="Times New Roman" w:hAnsi="Times New Roman"/>
          <w:sz w:val="24"/>
          <w:szCs w:val="24"/>
          <w:lang w:val="en-US"/>
        </w:rPr>
        <w:t xml:space="preserve">shall </w:t>
      </w:r>
      <w:r>
        <w:rPr>
          <w:rFonts w:ascii="Times New Roman" w:hAnsi="Times New Roman"/>
          <w:sz w:val="24"/>
          <w:szCs w:val="24"/>
          <w:lang w:val="en-US"/>
        </w:rPr>
        <w:t xml:space="preserve">establish the conditions for the implementation of the </w:t>
      </w:r>
      <w:r w:rsidR="00C611AC">
        <w:rPr>
          <w:rFonts w:ascii="Times New Roman" w:hAnsi="Times New Roman"/>
          <w:sz w:val="24"/>
          <w:szCs w:val="24"/>
          <w:lang w:val="en-US"/>
        </w:rPr>
        <w:t>f</w:t>
      </w:r>
      <w:r>
        <w:rPr>
          <w:rFonts w:ascii="Times New Roman" w:hAnsi="Times New Roman"/>
          <w:sz w:val="24"/>
          <w:szCs w:val="24"/>
          <w:lang w:val="en-US"/>
        </w:rPr>
        <w:t xml:space="preserve">inancial </w:t>
      </w:r>
      <w:r w:rsidR="00D02C5D">
        <w:rPr>
          <w:rFonts w:ascii="Times New Roman" w:hAnsi="Times New Roman"/>
          <w:sz w:val="24"/>
          <w:szCs w:val="24"/>
          <w:lang w:val="en-US"/>
        </w:rPr>
        <w:t xml:space="preserve">instrument </w:t>
      </w:r>
      <w:r>
        <w:rPr>
          <w:rFonts w:ascii="Times New Roman" w:hAnsi="Times New Roman"/>
          <w:sz w:val="24"/>
          <w:szCs w:val="24"/>
          <w:lang w:val="en-US"/>
        </w:rPr>
        <w:t xml:space="preserve">“Trade Credit Insurance Portfolio Guarantee” (hereinafter referred to as the TCIPG </w:t>
      </w:r>
      <w:r w:rsidR="00D02C5D">
        <w:rPr>
          <w:rFonts w:ascii="Times New Roman" w:hAnsi="Times New Roman"/>
          <w:sz w:val="24"/>
          <w:szCs w:val="24"/>
          <w:lang w:val="en-US"/>
        </w:rPr>
        <w:t>instrument</w:t>
      </w:r>
      <w:r>
        <w:rPr>
          <w:rFonts w:ascii="Times New Roman" w:hAnsi="Times New Roman"/>
          <w:sz w:val="24"/>
          <w:szCs w:val="24"/>
          <w:lang w:val="en-US"/>
        </w:rPr>
        <w:t xml:space="preserve">), requirements for </w:t>
      </w:r>
      <w:r w:rsidR="00F420A0">
        <w:rPr>
          <w:rFonts w:ascii="Times New Roman" w:hAnsi="Times New Roman"/>
          <w:sz w:val="24"/>
          <w:szCs w:val="24"/>
          <w:lang w:val="en-US"/>
        </w:rPr>
        <w:t>t</w:t>
      </w:r>
      <w:r>
        <w:rPr>
          <w:rFonts w:ascii="Times New Roman" w:hAnsi="Times New Roman"/>
          <w:sz w:val="24"/>
          <w:szCs w:val="24"/>
          <w:lang w:val="en-US"/>
        </w:rPr>
        <w:t xml:space="preserve">rade </w:t>
      </w:r>
      <w:r w:rsidR="00F420A0">
        <w:rPr>
          <w:rFonts w:ascii="Times New Roman" w:hAnsi="Times New Roman"/>
          <w:sz w:val="24"/>
          <w:szCs w:val="24"/>
          <w:lang w:val="en-US"/>
        </w:rPr>
        <w:t>c</w:t>
      </w:r>
      <w:r>
        <w:rPr>
          <w:rFonts w:ascii="Times New Roman" w:hAnsi="Times New Roman"/>
          <w:sz w:val="24"/>
          <w:szCs w:val="24"/>
          <w:lang w:val="en-US"/>
        </w:rPr>
        <w:t xml:space="preserve">redit </w:t>
      </w:r>
      <w:r w:rsidR="00F420A0">
        <w:rPr>
          <w:rFonts w:ascii="Times New Roman" w:hAnsi="Times New Roman"/>
          <w:sz w:val="24"/>
          <w:szCs w:val="24"/>
          <w:lang w:val="en-US"/>
        </w:rPr>
        <w:t>i</w:t>
      </w:r>
      <w:r>
        <w:rPr>
          <w:rFonts w:ascii="Times New Roman" w:hAnsi="Times New Roman"/>
          <w:sz w:val="24"/>
          <w:szCs w:val="24"/>
          <w:lang w:val="en-US"/>
        </w:rPr>
        <w:t xml:space="preserve">nsurance </w:t>
      </w:r>
      <w:r w:rsidR="00F420A0">
        <w:rPr>
          <w:rFonts w:ascii="Times New Roman" w:hAnsi="Times New Roman"/>
          <w:sz w:val="24"/>
          <w:szCs w:val="24"/>
          <w:lang w:val="en-US"/>
        </w:rPr>
        <w:t>c</w:t>
      </w:r>
      <w:r>
        <w:rPr>
          <w:rFonts w:ascii="Times New Roman" w:hAnsi="Times New Roman"/>
          <w:sz w:val="24"/>
          <w:szCs w:val="24"/>
          <w:lang w:val="en-US"/>
        </w:rPr>
        <w:t xml:space="preserve">ompanies participating in the TCIPG </w:t>
      </w:r>
      <w:r w:rsidR="003F2A4B">
        <w:rPr>
          <w:rFonts w:ascii="Times New Roman" w:hAnsi="Times New Roman"/>
          <w:sz w:val="24"/>
          <w:szCs w:val="24"/>
          <w:lang w:val="en-US"/>
        </w:rPr>
        <w:t>instrument</w:t>
      </w:r>
      <w:r>
        <w:rPr>
          <w:rFonts w:ascii="Times New Roman" w:hAnsi="Times New Roman"/>
          <w:sz w:val="24"/>
          <w:szCs w:val="24"/>
          <w:lang w:val="en-US"/>
        </w:rPr>
        <w:t xml:space="preserve"> (hereinafter referred to as the Insurer) and the procedure for the distribution of funds intended for the formation of trade credit insurance portfolios (hereinafter referred to as Insurance </w:t>
      </w:r>
      <w:r w:rsidR="003D2BF0">
        <w:rPr>
          <w:rFonts w:ascii="Times New Roman" w:hAnsi="Times New Roman"/>
          <w:sz w:val="24"/>
          <w:szCs w:val="24"/>
          <w:lang w:val="en-US"/>
        </w:rPr>
        <w:t>p</w:t>
      </w:r>
      <w:r>
        <w:rPr>
          <w:rFonts w:ascii="Times New Roman" w:hAnsi="Times New Roman"/>
          <w:sz w:val="24"/>
          <w:szCs w:val="24"/>
          <w:lang w:val="en-US"/>
        </w:rPr>
        <w:t xml:space="preserve">ortfolio) guaranteed by the TCIPG </w:t>
      </w:r>
      <w:r w:rsidR="003F2A4B">
        <w:rPr>
          <w:rFonts w:ascii="Times New Roman" w:hAnsi="Times New Roman"/>
          <w:sz w:val="24"/>
          <w:szCs w:val="24"/>
          <w:lang w:val="en-US"/>
        </w:rPr>
        <w:t>instrument</w:t>
      </w:r>
      <w:r>
        <w:rPr>
          <w:rFonts w:ascii="Times New Roman" w:hAnsi="Times New Roman"/>
          <w:sz w:val="24"/>
          <w:szCs w:val="24"/>
          <w:lang w:val="en-US"/>
        </w:rPr>
        <w:t>.</w:t>
      </w:r>
    </w:p>
    <w:p w14:paraId="1135E3FB" w14:textId="7743F654" w:rsidR="004B1357" w:rsidRPr="00FE22E2" w:rsidRDefault="004E47A2" w:rsidP="002A7CAD">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sz w:val="24"/>
          <w:szCs w:val="24"/>
        </w:rPr>
      </w:pPr>
      <w:r w:rsidRPr="002A7CAD">
        <w:rPr>
          <w:rFonts w:ascii="Times New Roman" w:hAnsi="Times New Roman"/>
          <w:sz w:val="24"/>
          <w:szCs w:val="24"/>
          <w:lang w:val="en-US"/>
        </w:rPr>
        <w:t xml:space="preserve">On 17 October 2018 the Government of the Republic of Lithuania granted the status of a national promotional institution to </w:t>
      </w:r>
      <w:proofErr w:type="spellStart"/>
      <w:r w:rsidRPr="002A7CAD">
        <w:rPr>
          <w:rFonts w:ascii="Times New Roman" w:hAnsi="Times New Roman"/>
          <w:sz w:val="24"/>
          <w:szCs w:val="24"/>
          <w:lang w:val="en-US"/>
        </w:rPr>
        <w:t>Investicijų</w:t>
      </w:r>
      <w:proofErr w:type="spellEnd"/>
      <w:r w:rsidRPr="002A7CAD">
        <w:rPr>
          <w:rFonts w:ascii="Times New Roman" w:hAnsi="Times New Roman"/>
          <w:sz w:val="24"/>
          <w:szCs w:val="24"/>
          <w:lang w:val="en-US"/>
        </w:rPr>
        <w:t xml:space="preserve"> </w:t>
      </w:r>
      <w:proofErr w:type="spellStart"/>
      <w:r w:rsidRPr="002A7CAD">
        <w:rPr>
          <w:rFonts w:ascii="Times New Roman" w:hAnsi="Times New Roman"/>
          <w:sz w:val="24"/>
          <w:szCs w:val="24"/>
          <w:lang w:val="en-US"/>
        </w:rPr>
        <w:t>ir</w:t>
      </w:r>
      <w:proofErr w:type="spellEnd"/>
      <w:r w:rsidRPr="002A7CAD">
        <w:rPr>
          <w:rFonts w:ascii="Times New Roman" w:hAnsi="Times New Roman"/>
          <w:sz w:val="24"/>
          <w:szCs w:val="24"/>
          <w:lang w:val="en-US"/>
        </w:rPr>
        <w:t xml:space="preserve"> </w:t>
      </w:r>
      <w:proofErr w:type="spellStart"/>
      <w:r w:rsidRPr="002A7CAD">
        <w:rPr>
          <w:rFonts w:ascii="Times New Roman" w:hAnsi="Times New Roman"/>
          <w:sz w:val="24"/>
          <w:szCs w:val="24"/>
          <w:lang w:val="en-US"/>
        </w:rPr>
        <w:t>verslo</w:t>
      </w:r>
      <w:proofErr w:type="spellEnd"/>
      <w:r w:rsidRPr="002A7CAD">
        <w:rPr>
          <w:rFonts w:ascii="Times New Roman" w:hAnsi="Times New Roman"/>
          <w:sz w:val="24"/>
          <w:szCs w:val="24"/>
          <w:lang w:val="en-US"/>
        </w:rPr>
        <w:t xml:space="preserve"> garantijos UAB (hereinafter referred to as Invega) and as of 3 December 2018 Invega is included in the list of National Promotional Institutions (hereinafter referred to as NPIs)</w:t>
      </w:r>
      <w:r w:rsidR="00B24474">
        <w:rPr>
          <w:rFonts w:ascii="Times New Roman" w:hAnsi="Times New Roman"/>
          <w:sz w:val="24"/>
          <w:szCs w:val="24"/>
          <w:lang w:val="en-US"/>
        </w:rPr>
        <w:t>.</w:t>
      </w:r>
      <w:r w:rsidRPr="002A7CAD">
        <w:rPr>
          <w:rFonts w:ascii="Times New Roman" w:hAnsi="Times New Roman"/>
          <w:sz w:val="24"/>
          <w:szCs w:val="24"/>
          <w:lang w:val="en-US"/>
        </w:rPr>
        <w:t xml:space="preserve"> Invega implements financial </w:t>
      </w:r>
      <w:r w:rsidR="00D02C5D">
        <w:rPr>
          <w:rFonts w:ascii="Times New Roman" w:hAnsi="Times New Roman"/>
          <w:sz w:val="24"/>
          <w:szCs w:val="24"/>
          <w:lang w:val="en-US"/>
        </w:rPr>
        <w:t>instruments</w:t>
      </w:r>
      <w:r w:rsidRPr="002A7CAD">
        <w:rPr>
          <w:rFonts w:ascii="Times New Roman" w:hAnsi="Times New Roman"/>
          <w:sz w:val="24"/>
          <w:szCs w:val="24"/>
          <w:lang w:val="en-US"/>
        </w:rPr>
        <w:t xml:space="preserve"> financed from the </w:t>
      </w:r>
      <w:r w:rsidR="00D02C5D">
        <w:rPr>
          <w:rFonts w:ascii="Times New Roman" w:hAnsi="Times New Roman"/>
          <w:sz w:val="24"/>
          <w:szCs w:val="24"/>
          <w:lang w:val="en-US"/>
        </w:rPr>
        <w:t>S</w:t>
      </w:r>
      <w:r w:rsidRPr="002A7CAD">
        <w:rPr>
          <w:rFonts w:ascii="Times New Roman" w:hAnsi="Times New Roman"/>
          <w:sz w:val="24"/>
          <w:szCs w:val="24"/>
          <w:lang w:val="en-US"/>
        </w:rPr>
        <w:t>tate budget of the Republic of Lithuania.</w:t>
      </w:r>
    </w:p>
    <w:p w14:paraId="5B77CF13" w14:textId="054DF579" w:rsidR="004B1357" w:rsidRPr="00EC6206" w:rsidRDefault="004E47A2" w:rsidP="00035106">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b/>
          <w:bCs/>
          <w:color w:val="000000" w:themeColor="text1"/>
          <w:sz w:val="24"/>
          <w:szCs w:val="24"/>
        </w:rPr>
      </w:pPr>
      <w:r w:rsidRPr="00A1481B">
        <w:rPr>
          <w:rFonts w:ascii="Times New Roman" w:hAnsi="Times New Roman"/>
          <w:sz w:val="24"/>
          <w:szCs w:val="24"/>
          <w:lang w:val="en-US"/>
        </w:rPr>
        <w:t xml:space="preserve">The TCIPG </w:t>
      </w:r>
      <w:r w:rsidR="003F2A4B">
        <w:rPr>
          <w:rFonts w:ascii="Times New Roman" w:hAnsi="Times New Roman"/>
          <w:sz w:val="24"/>
          <w:szCs w:val="24"/>
          <w:lang w:val="en-US"/>
        </w:rPr>
        <w:t>instrument</w:t>
      </w:r>
      <w:r w:rsidRPr="00A1481B">
        <w:rPr>
          <w:rFonts w:ascii="Times New Roman" w:hAnsi="Times New Roman"/>
          <w:sz w:val="24"/>
          <w:szCs w:val="24"/>
          <w:lang w:val="en-US"/>
        </w:rPr>
        <w:t xml:space="preserve"> </w:t>
      </w:r>
      <w:r w:rsidR="00B24474">
        <w:rPr>
          <w:rFonts w:ascii="Times New Roman" w:hAnsi="Times New Roman"/>
          <w:sz w:val="24"/>
          <w:szCs w:val="24"/>
          <w:lang w:val="en-US"/>
        </w:rPr>
        <w:t>shall be</w:t>
      </w:r>
      <w:r w:rsidRPr="00A1481B">
        <w:rPr>
          <w:rFonts w:ascii="Times New Roman" w:hAnsi="Times New Roman"/>
          <w:sz w:val="24"/>
          <w:szCs w:val="24"/>
          <w:lang w:val="en-US"/>
        </w:rPr>
        <w:t xml:space="preserve"> implemented in accordance with the Economic Stimulus and Coronavirus (COVID-19) Mitigation Plan, which was approved by the Minutes No 14 of the meeting of  the Government of the Republic of Lithuania of </w:t>
      </w:r>
      <w:r w:rsidRPr="00EC6206">
        <w:rPr>
          <w:rFonts w:ascii="Times New Roman" w:hAnsi="Times New Roman"/>
          <w:color w:val="000000" w:themeColor="text1"/>
          <w:sz w:val="24"/>
          <w:szCs w:val="24"/>
          <w:lang w:val="en-US"/>
        </w:rPr>
        <w:t>16 March 2020, Objective 3 "Helping businesses to maintain liquidity" and Objective 4 "Stimulating the economy".</w:t>
      </w:r>
    </w:p>
    <w:p w14:paraId="1E500344" w14:textId="45065924" w:rsidR="00316A5F" w:rsidRPr="00316A5F" w:rsidRDefault="004E47A2" w:rsidP="00035106">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b/>
          <w:bCs/>
          <w:sz w:val="24"/>
          <w:szCs w:val="24"/>
        </w:rPr>
      </w:pPr>
      <w:r w:rsidRPr="00A1481B">
        <w:rPr>
          <w:rFonts w:ascii="Times New Roman" w:hAnsi="Times New Roman"/>
          <w:sz w:val="24"/>
          <w:szCs w:val="24"/>
          <w:lang w:val="en-US"/>
        </w:rPr>
        <w:t xml:space="preserve">The TCIPG </w:t>
      </w:r>
      <w:r w:rsidR="003F2A4B">
        <w:rPr>
          <w:rFonts w:ascii="Times New Roman" w:hAnsi="Times New Roman"/>
          <w:sz w:val="24"/>
          <w:szCs w:val="24"/>
          <w:lang w:val="en-US"/>
        </w:rPr>
        <w:t>instrument</w:t>
      </w:r>
      <w:r w:rsidRPr="00A1481B">
        <w:rPr>
          <w:rFonts w:ascii="Times New Roman" w:hAnsi="Times New Roman"/>
          <w:sz w:val="24"/>
          <w:szCs w:val="24"/>
          <w:lang w:val="en-US"/>
        </w:rPr>
        <w:t xml:space="preserve"> </w:t>
      </w:r>
      <w:r w:rsidR="00B24474">
        <w:rPr>
          <w:rFonts w:ascii="Times New Roman" w:hAnsi="Times New Roman"/>
          <w:sz w:val="24"/>
          <w:szCs w:val="24"/>
          <w:lang w:val="en-US"/>
        </w:rPr>
        <w:t>shall be</w:t>
      </w:r>
      <w:r w:rsidRPr="00A1481B">
        <w:rPr>
          <w:rFonts w:ascii="Times New Roman" w:hAnsi="Times New Roman"/>
          <w:sz w:val="24"/>
          <w:szCs w:val="24"/>
          <w:lang w:val="en-US"/>
        </w:rPr>
        <w:t xml:space="preserve"> implemented in the holding fund INVEGOS </w:t>
      </w:r>
      <w:proofErr w:type="spellStart"/>
      <w:r w:rsidRPr="00A1481B">
        <w:rPr>
          <w:rFonts w:ascii="Times New Roman" w:hAnsi="Times New Roman"/>
          <w:sz w:val="24"/>
          <w:szCs w:val="24"/>
          <w:lang w:val="en-US"/>
        </w:rPr>
        <w:t>fondas</w:t>
      </w:r>
      <w:proofErr w:type="spellEnd"/>
      <w:r w:rsidRPr="00A1481B">
        <w:rPr>
          <w:rFonts w:ascii="Times New Roman" w:hAnsi="Times New Roman"/>
          <w:sz w:val="24"/>
          <w:szCs w:val="24"/>
          <w:lang w:val="en-US"/>
        </w:rPr>
        <w:t xml:space="preserve"> (hereinafter referred to as INVEG</w:t>
      </w:r>
      <w:r w:rsidR="00D02C5D">
        <w:rPr>
          <w:rFonts w:ascii="Times New Roman" w:hAnsi="Times New Roman"/>
          <w:sz w:val="24"/>
          <w:szCs w:val="24"/>
          <w:lang w:val="en-US"/>
        </w:rPr>
        <w:t>A</w:t>
      </w:r>
      <w:r w:rsidRPr="00A1481B">
        <w:rPr>
          <w:rFonts w:ascii="Times New Roman" w:hAnsi="Times New Roman"/>
          <w:sz w:val="24"/>
          <w:szCs w:val="24"/>
          <w:lang w:val="en-US"/>
        </w:rPr>
        <w:t xml:space="preserve"> </w:t>
      </w:r>
      <w:r w:rsidR="001C575D">
        <w:rPr>
          <w:rFonts w:ascii="Times New Roman" w:hAnsi="Times New Roman"/>
          <w:sz w:val="24"/>
          <w:szCs w:val="24"/>
          <w:lang w:val="en-US"/>
        </w:rPr>
        <w:t>f</w:t>
      </w:r>
      <w:r w:rsidR="00D02C5D">
        <w:rPr>
          <w:rFonts w:ascii="Times New Roman" w:hAnsi="Times New Roman"/>
          <w:sz w:val="24"/>
          <w:szCs w:val="24"/>
          <w:lang w:val="en-US"/>
        </w:rPr>
        <w:t>und</w:t>
      </w:r>
      <w:r w:rsidRPr="00A1481B">
        <w:rPr>
          <w:rFonts w:ascii="Times New Roman" w:hAnsi="Times New Roman"/>
          <w:sz w:val="24"/>
          <w:szCs w:val="24"/>
          <w:lang w:val="en-US"/>
        </w:rPr>
        <w:t xml:space="preserve">), established by the 7 April 2009 agreement concluded between the Ministry of Finance of the Republic of Lithuania, the Ministry of Economy of the Republic of Lithuania and Invega. Under this agreement, Invega was appointed as Manager of the INVEGA </w:t>
      </w:r>
      <w:r w:rsidR="001C575D">
        <w:rPr>
          <w:rFonts w:ascii="Times New Roman" w:hAnsi="Times New Roman"/>
          <w:sz w:val="24"/>
          <w:szCs w:val="24"/>
          <w:lang w:val="en-US"/>
        </w:rPr>
        <w:t>f</w:t>
      </w:r>
      <w:r w:rsidR="00D02C5D">
        <w:rPr>
          <w:rFonts w:ascii="Times New Roman" w:hAnsi="Times New Roman"/>
          <w:sz w:val="24"/>
          <w:szCs w:val="24"/>
          <w:lang w:val="en-US"/>
        </w:rPr>
        <w:t>und</w:t>
      </w:r>
      <w:r w:rsidRPr="00A1481B">
        <w:rPr>
          <w:rFonts w:ascii="Times New Roman" w:hAnsi="Times New Roman"/>
          <w:sz w:val="24"/>
          <w:szCs w:val="24"/>
          <w:lang w:val="en-US"/>
        </w:rPr>
        <w:t>.</w:t>
      </w:r>
    </w:p>
    <w:p w14:paraId="7E9A08BD" w14:textId="621332AA" w:rsidR="00E13B4F" w:rsidRPr="00A1481B" w:rsidRDefault="004E47A2" w:rsidP="00035106">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b/>
          <w:bCs/>
          <w:sz w:val="24"/>
          <w:szCs w:val="24"/>
        </w:rPr>
      </w:pPr>
      <w:r>
        <w:rPr>
          <w:rFonts w:ascii="Times New Roman" w:hAnsi="Times New Roman"/>
          <w:sz w:val="24"/>
          <w:szCs w:val="24"/>
          <w:lang w:val="en-US"/>
        </w:rPr>
        <w:t xml:space="preserve"> The TCIPG </w:t>
      </w:r>
      <w:r w:rsidR="003F2A4B">
        <w:rPr>
          <w:rFonts w:ascii="Times New Roman" w:hAnsi="Times New Roman"/>
          <w:sz w:val="24"/>
          <w:szCs w:val="24"/>
          <w:lang w:val="en-US"/>
        </w:rPr>
        <w:t>instrument</w:t>
      </w:r>
      <w:r>
        <w:rPr>
          <w:rFonts w:ascii="Times New Roman" w:hAnsi="Times New Roman"/>
          <w:sz w:val="24"/>
          <w:szCs w:val="24"/>
          <w:lang w:val="en-US"/>
        </w:rPr>
        <w:t xml:space="preserve"> </w:t>
      </w:r>
      <w:r w:rsidR="00B24474">
        <w:rPr>
          <w:rFonts w:ascii="Times New Roman" w:hAnsi="Times New Roman"/>
          <w:sz w:val="24"/>
          <w:szCs w:val="24"/>
          <w:lang w:val="en-US"/>
        </w:rPr>
        <w:t>shall be</w:t>
      </w:r>
      <w:r>
        <w:rPr>
          <w:rFonts w:ascii="Times New Roman" w:hAnsi="Times New Roman"/>
          <w:sz w:val="24"/>
          <w:szCs w:val="24"/>
          <w:lang w:val="en-US"/>
        </w:rPr>
        <w:t xml:space="preserve"> financed from the </w:t>
      </w:r>
      <w:r w:rsidR="00D02C5D">
        <w:rPr>
          <w:rFonts w:ascii="Times New Roman" w:hAnsi="Times New Roman"/>
          <w:sz w:val="24"/>
          <w:szCs w:val="24"/>
          <w:lang w:val="en-US"/>
        </w:rPr>
        <w:t>S</w:t>
      </w:r>
      <w:r>
        <w:rPr>
          <w:rFonts w:ascii="Times New Roman" w:hAnsi="Times New Roman"/>
          <w:sz w:val="24"/>
          <w:szCs w:val="24"/>
          <w:lang w:val="en-US"/>
        </w:rPr>
        <w:t xml:space="preserve">tate budget of the Republic of Lithuania.  </w:t>
      </w:r>
    </w:p>
    <w:p w14:paraId="764E2DF9" w14:textId="3B64D51E" w:rsidR="004C6BBB" w:rsidRPr="00A1481B" w:rsidRDefault="004E47A2" w:rsidP="00035106">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b/>
          <w:bCs/>
          <w:sz w:val="24"/>
          <w:szCs w:val="24"/>
        </w:rPr>
      </w:pPr>
      <w:r w:rsidRPr="00A1481B">
        <w:rPr>
          <w:rFonts w:ascii="Times New Roman" w:hAnsi="Times New Roman"/>
          <w:sz w:val="24"/>
          <w:szCs w:val="24"/>
          <w:lang w:val="en-US"/>
        </w:rPr>
        <w:t xml:space="preserve">The Description has been agreed in accordance with the procedure provided for in the INVEGA </w:t>
      </w:r>
      <w:r w:rsidR="001C575D">
        <w:rPr>
          <w:rFonts w:ascii="Times New Roman" w:hAnsi="Times New Roman"/>
          <w:sz w:val="24"/>
          <w:szCs w:val="24"/>
          <w:lang w:val="en-US"/>
        </w:rPr>
        <w:t>f</w:t>
      </w:r>
      <w:r w:rsidR="00D02C5D">
        <w:rPr>
          <w:rFonts w:ascii="Times New Roman" w:hAnsi="Times New Roman"/>
          <w:sz w:val="24"/>
          <w:szCs w:val="24"/>
          <w:lang w:val="en-US"/>
        </w:rPr>
        <w:t>und</w:t>
      </w:r>
      <w:r w:rsidR="00D02C5D" w:rsidRPr="00A1481B">
        <w:rPr>
          <w:rFonts w:ascii="Times New Roman" w:hAnsi="Times New Roman"/>
          <w:sz w:val="24"/>
          <w:szCs w:val="24"/>
          <w:lang w:val="en-US"/>
        </w:rPr>
        <w:t xml:space="preserve"> </w:t>
      </w:r>
      <w:r w:rsidRPr="00A1481B">
        <w:rPr>
          <w:rFonts w:ascii="Times New Roman" w:hAnsi="Times New Roman"/>
          <w:sz w:val="24"/>
          <w:szCs w:val="24"/>
          <w:lang w:val="en-US"/>
        </w:rPr>
        <w:t>agreement.</w:t>
      </w:r>
    </w:p>
    <w:p w14:paraId="30469847" w14:textId="2535930C" w:rsidR="00BC202C" w:rsidRPr="00A1481B" w:rsidRDefault="004E47A2" w:rsidP="00035106">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b/>
          <w:bCs/>
          <w:sz w:val="24"/>
          <w:szCs w:val="24"/>
        </w:rPr>
      </w:pPr>
      <w:bookmarkStart w:id="0" w:name="_Hlk35618058"/>
      <w:r w:rsidRPr="00A1481B">
        <w:rPr>
          <w:rFonts w:ascii="Times New Roman" w:hAnsi="Times New Roman"/>
          <w:bCs/>
          <w:sz w:val="24"/>
          <w:szCs w:val="24"/>
          <w:lang w:val="en-US"/>
        </w:rPr>
        <w:t xml:space="preserve">The Description, the call for applications and the template of the TCIPG </w:t>
      </w:r>
      <w:r w:rsidR="00D02C5D">
        <w:rPr>
          <w:rFonts w:ascii="Times New Roman" w:hAnsi="Times New Roman"/>
          <w:bCs/>
          <w:sz w:val="24"/>
          <w:szCs w:val="24"/>
          <w:lang w:val="en-US"/>
        </w:rPr>
        <w:t>instrument</w:t>
      </w:r>
      <w:r w:rsidR="00D02C5D" w:rsidRPr="00A1481B">
        <w:rPr>
          <w:rFonts w:ascii="Times New Roman" w:hAnsi="Times New Roman"/>
          <w:bCs/>
          <w:sz w:val="24"/>
          <w:szCs w:val="24"/>
          <w:lang w:val="en-US"/>
        </w:rPr>
        <w:t xml:space="preserve"> </w:t>
      </w:r>
      <w:r w:rsidRPr="00A1481B">
        <w:rPr>
          <w:rFonts w:ascii="Times New Roman" w:hAnsi="Times New Roman"/>
          <w:bCs/>
          <w:sz w:val="24"/>
          <w:szCs w:val="24"/>
          <w:lang w:val="en-US"/>
        </w:rPr>
        <w:t xml:space="preserve">implementation contract (hereinafter referred to as the Contract) </w:t>
      </w:r>
      <w:r w:rsidR="00B24474">
        <w:rPr>
          <w:rFonts w:ascii="Times New Roman" w:hAnsi="Times New Roman"/>
          <w:bCs/>
          <w:sz w:val="24"/>
          <w:szCs w:val="24"/>
          <w:lang w:val="en-US"/>
        </w:rPr>
        <w:t>shall be</w:t>
      </w:r>
      <w:r w:rsidRPr="00A1481B">
        <w:rPr>
          <w:rFonts w:ascii="Times New Roman" w:hAnsi="Times New Roman"/>
          <w:bCs/>
          <w:sz w:val="24"/>
          <w:szCs w:val="24"/>
          <w:lang w:val="en-US"/>
        </w:rPr>
        <w:t xml:space="preserve"> published on Invega's website at </w:t>
      </w:r>
      <w:hyperlink r:id="rId11" w:history="1">
        <w:r w:rsidRPr="00E9278C">
          <w:rPr>
            <w:rStyle w:val="Hyperlink"/>
            <w:rFonts w:ascii="Times New Roman" w:hAnsi="Times New Roman"/>
            <w:bCs/>
            <w:sz w:val="24"/>
            <w:szCs w:val="24"/>
            <w:lang w:val="en-US"/>
          </w:rPr>
          <w:t>www.invega.lt</w:t>
        </w:r>
      </w:hyperlink>
      <w:bookmarkStart w:id="1" w:name="_Hlk36718590"/>
      <w:r w:rsidRPr="00A1481B">
        <w:rPr>
          <w:rFonts w:ascii="Times New Roman" w:hAnsi="Times New Roman"/>
          <w:bCs/>
          <w:sz w:val="24"/>
          <w:szCs w:val="24"/>
          <w:lang w:val="en-US"/>
        </w:rPr>
        <w:t xml:space="preserve">. </w:t>
      </w:r>
      <w:bookmarkEnd w:id="1"/>
      <w:r w:rsidRPr="00A1481B">
        <w:rPr>
          <w:rFonts w:ascii="Times New Roman" w:hAnsi="Times New Roman"/>
          <w:bCs/>
          <w:sz w:val="24"/>
          <w:szCs w:val="24"/>
          <w:lang w:val="en-US"/>
        </w:rPr>
        <w:t xml:space="preserve">The call for applications shall be carried out in accordance with the procedure set out in </w:t>
      </w:r>
      <w:r w:rsidR="00B24474">
        <w:rPr>
          <w:rFonts w:ascii="Times New Roman" w:hAnsi="Times New Roman"/>
          <w:bCs/>
          <w:sz w:val="24"/>
          <w:szCs w:val="24"/>
          <w:lang w:val="en-US"/>
        </w:rPr>
        <w:t>Section</w:t>
      </w:r>
      <w:r w:rsidRPr="00A1481B">
        <w:rPr>
          <w:rFonts w:ascii="Times New Roman" w:hAnsi="Times New Roman"/>
          <w:bCs/>
          <w:sz w:val="24"/>
          <w:szCs w:val="24"/>
          <w:lang w:val="en-US"/>
        </w:rPr>
        <w:t xml:space="preserve"> 3 of the Description.</w:t>
      </w:r>
    </w:p>
    <w:p w14:paraId="1F4CA826" w14:textId="008E4C4F" w:rsidR="00BC202C" w:rsidRPr="00A1481B" w:rsidRDefault="004E47A2" w:rsidP="00035106">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b/>
          <w:bCs/>
          <w:sz w:val="24"/>
          <w:szCs w:val="24"/>
        </w:rPr>
      </w:pPr>
      <w:r w:rsidRPr="00A1481B">
        <w:rPr>
          <w:rFonts w:ascii="Times New Roman" w:hAnsi="Times New Roman"/>
          <w:bCs/>
          <w:sz w:val="24"/>
          <w:szCs w:val="24"/>
          <w:lang w:val="en-US"/>
        </w:rPr>
        <w:t xml:space="preserve">The Description and the Contract may be clarified on Invega's initiative. </w:t>
      </w:r>
      <w:bookmarkEnd w:id="0"/>
      <w:r w:rsidRPr="00A1481B">
        <w:rPr>
          <w:rFonts w:ascii="Times New Roman" w:hAnsi="Times New Roman"/>
          <w:bCs/>
          <w:sz w:val="24"/>
          <w:szCs w:val="24"/>
          <w:lang w:val="en-US"/>
        </w:rPr>
        <w:t xml:space="preserve">The provisions of the Description </w:t>
      </w:r>
      <w:r w:rsidR="00B24474">
        <w:rPr>
          <w:rFonts w:ascii="Times New Roman" w:hAnsi="Times New Roman"/>
          <w:bCs/>
          <w:sz w:val="24"/>
          <w:szCs w:val="24"/>
          <w:lang w:val="en-US"/>
        </w:rPr>
        <w:t>shall be</w:t>
      </w:r>
      <w:r w:rsidRPr="00A1481B">
        <w:rPr>
          <w:rFonts w:ascii="Times New Roman" w:hAnsi="Times New Roman"/>
          <w:bCs/>
          <w:sz w:val="24"/>
          <w:szCs w:val="24"/>
          <w:lang w:val="en-US"/>
        </w:rPr>
        <w:t xml:space="preserve"> explained and publicly available on the website </w:t>
      </w:r>
      <w:hyperlink r:id="rId12" w:history="1">
        <w:r w:rsidRPr="00E9278C">
          <w:rPr>
            <w:rStyle w:val="Hyperlink"/>
            <w:rFonts w:ascii="Times New Roman" w:hAnsi="Times New Roman"/>
            <w:bCs/>
            <w:sz w:val="24"/>
            <w:szCs w:val="24"/>
            <w:lang w:val="en-US"/>
          </w:rPr>
          <w:t>www.invega.lt</w:t>
        </w:r>
      </w:hyperlink>
      <w:r w:rsidRPr="00A1481B">
        <w:rPr>
          <w:rFonts w:ascii="Times New Roman" w:hAnsi="Times New Roman"/>
          <w:bCs/>
          <w:sz w:val="24"/>
          <w:szCs w:val="24"/>
          <w:lang w:val="en-US"/>
        </w:rPr>
        <w:t>.</w:t>
      </w:r>
    </w:p>
    <w:p w14:paraId="5ADB70CD" w14:textId="6D68601F" w:rsidR="00E51EF3" w:rsidRPr="00A1481B" w:rsidRDefault="004E47A2" w:rsidP="00035106">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b/>
          <w:bCs/>
          <w:sz w:val="24"/>
          <w:szCs w:val="24"/>
        </w:rPr>
      </w:pPr>
      <w:r w:rsidRPr="00A1481B">
        <w:rPr>
          <w:rFonts w:ascii="Times New Roman" w:hAnsi="Times New Roman"/>
          <w:bCs/>
          <w:sz w:val="24"/>
          <w:szCs w:val="24"/>
          <w:lang w:val="en-US"/>
        </w:rPr>
        <w:t xml:space="preserve">In order to </w:t>
      </w:r>
      <w:r w:rsidR="00B24474">
        <w:rPr>
          <w:rFonts w:ascii="Times New Roman" w:hAnsi="Times New Roman"/>
          <w:bCs/>
          <w:sz w:val="24"/>
          <w:szCs w:val="24"/>
          <w:lang w:val="en-US"/>
        </w:rPr>
        <w:t>examine</w:t>
      </w:r>
      <w:r w:rsidRPr="00A1481B">
        <w:rPr>
          <w:rFonts w:ascii="Times New Roman" w:hAnsi="Times New Roman"/>
          <w:bCs/>
          <w:sz w:val="24"/>
          <w:szCs w:val="24"/>
          <w:lang w:val="en-US"/>
        </w:rPr>
        <w:t xml:space="preserve"> the comments of all stakeholders and to ensure that the conditions of the TCIPG </w:t>
      </w:r>
      <w:r w:rsidR="003F2A4B">
        <w:rPr>
          <w:rFonts w:ascii="Times New Roman" w:hAnsi="Times New Roman"/>
          <w:bCs/>
          <w:sz w:val="24"/>
          <w:szCs w:val="24"/>
          <w:lang w:val="en-US"/>
        </w:rPr>
        <w:t>instrument</w:t>
      </w:r>
      <w:r w:rsidRPr="00A1481B">
        <w:rPr>
          <w:rFonts w:ascii="Times New Roman" w:hAnsi="Times New Roman"/>
          <w:bCs/>
          <w:sz w:val="24"/>
          <w:szCs w:val="24"/>
          <w:lang w:val="en-US"/>
        </w:rPr>
        <w:t xml:space="preserve"> meet market needs, a public discussion on the conditions for the implementation of the TCIPG </w:t>
      </w:r>
      <w:r w:rsidR="003F2A4B">
        <w:rPr>
          <w:rFonts w:ascii="Times New Roman" w:hAnsi="Times New Roman"/>
          <w:bCs/>
          <w:sz w:val="24"/>
          <w:szCs w:val="24"/>
          <w:lang w:val="en-US"/>
        </w:rPr>
        <w:t>instrument</w:t>
      </w:r>
      <w:r w:rsidRPr="00A1481B">
        <w:rPr>
          <w:rFonts w:ascii="Times New Roman" w:hAnsi="Times New Roman"/>
          <w:bCs/>
          <w:sz w:val="24"/>
          <w:szCs w:val="24"/>
          <w:lang w:val="en-US"/>
        </w:rPr>
        <w:t xml:space="preserve"> was </w:t>
      </w:r>
      <w:r w:rsidR="003F2A4B" w:rsidRPr="00A1481B">
        <w:rPr>
          <w:rFonts w:ascii="Times New Roman" w:hAnsi="Times New Roman"/>
          <w:bCs/>
          <w:sz w:val="24"/>
          <w:szCs w:val="24"/>
          <w:lang w:val="en-US"/>
        </w:rPr>
        <w:t>organized</w:t>
      </w:r>
      <w:r w:rsidRPr="00A1481B">
        <w:rPr>
          <w:rFonts w:ascii="Times New Roman" w:hAnsi="Times New Roman"/>
          <w:bCs/>
          <w:sz w:val="24"/>
          <w:szCs w:val="24"/>
          <w:lang w:val="en-US"/>
        </w:rPr>
        <w:t xml:space="preserve"> prior to agreeing on the Description.</w:t>
      </w:r>
    </w:p>
    <w:p w14:paraId="2F834EC0" w14:textId="77777777" w:rsidR="003B52F2" w:rsidRPr="003F6337" w:rsidRDefault="003B52F2" w:rsidP="0041074D">
      <w:pPr>
        <w:autoSpaceDE w:val="0"/>
        <w:autoSpaceDN w:val="0"/>
        <w:adjustRightInd w:val="0"/>
        <w:spacing w:after="0" w:line="240" w:lineRule="auto"/>
        <w:ind w:left="1070"/>
        <w:jc w:val="both"/>
        <w:rPr>
          <w:rFonts w:ascii="Times New Roman" w:hAnsi="Times New Roman"/>
          <w:sz w:val="24"/>
        </w:rPr>
      </w:pPr>
    </w:p>
    <w:p w14:paraId="5B70F344" w14:textId="55FEE445" w:rsidR="00162B14" w:rsidRPr="00CE73C9" w:rsidRDefault="003F2A4B" w:rsidP="00981F3A">
      <w:pPr>
        <w:pStyle w:val="ListParagraph"/>
        <w:keepNext/>
        <w:numPr>
          <w:ilvl w:val="0"/>
          <w:numId w:val="1"/>
        </w:numPr>
        <w:tabs>
          <w:tab w:val="left" w:pos="284"/>
        </w:tabs>
        <w:autoSpaceDE w:val="0"/>
        <w:autoSpaceDN w:val="0"/>
        <w:adjustRightInd w:val="0"/>
        <w:spacing w:after="0" w:line="240" w:lineRule="auto"/>
        <w:ind w:left="0" w:firstLine="0"/>
        <w:jc w:val="center"/>
        <w:rPr>
          <w:rFonts w:ascii="Times New Roman" w:hAnsi="Times New Roman"/>
          <w:b/>
          <w:bCs/>
          <w:sz w:val="24"/>
          <w:szCs w:val="24"/>
        </w:rPr>
      </w:pPr>
      <w:r>
        <w:rPr>
          <w:rFonts w:ascii="Times New Roman" w:hAnsi="Times New Roman"/>
          <w:b/>
          <w:bCs/>
          <w:sz w:val="24"/>
          <w:szCs w:val="24"/>
          <w:lang w:val="en-US"/>
        </w:rPr>
        <w:lastRenderedPageBreak/>
        <w:t>OBJECTIVE</w:t>
      </w:r>
      <w:r w:rsidR="004E47A2" w:rsidRPr="007B6AD5">
        <w:rPr>
          <w:rFonts w:ascii="Times New Roman" w:hAnsi="Times New Roman"/>
          <w:b/>
          <w:bCs/>
          <w:sz w:val="24"/>
          <w:szCs w:val="24"/>
          <w:lang w:val="en-US"/>
        </w:rPr>
        <w:t xml:space="preserve"> OF THE CONTRACT FOR THE IMPLEMENTATION OF THE TCIPG </w:t>
      </w:r>
      <w:r>
        <w:rPr>
          <w:rFonts w:ascii="Times New Roman" w:hAnsi="Times New Roman"/>
          <w:b/>
          <w:bCs/>
          <w:sz w:val="24"/>
          <w:szCs w:val="24"/>
          <w:lang w:val="en-US"/>
        </w:rPr>
        <w:t>INSTRUMENT</w:t>
      </w:r>
    </w:p>
    <w:p w14:paraId="1731578A" w14:textId="77777777" w:rsidR="00A421A2" w:rsidRPr="007A6B46" w:rsidRDefault="00A421A2" w:rsidP="00981F3A">
      <w:pPr>
        <w:keepNext/>
        <w:tabs>
          <w:tab w:val="left" w:pos="709"/>
        </w:tabs>
        <w:autoSpaceDE w:val="0"/>
        <w:autoSpaceDN w:val="0"/>
        <w:adjustRightInd w:val="0"/>
        <w:spacing w:after="0" w:line="240" w:lineRule="auto"/>
        <w:ind w:left="-142" w:firstLine="568"/>
        <w:jc w:val="center"/>
        <w:rPr>
          <w:rFonts w:ascii="Times New Roman" w:hAnsi="Times New Roman"/>
          <w:b/>
          <w:bCs/>
          <w:sz w:val="24"/>
          <w:szCs w:val="24"/>
        </w:rPr>
      </w:pPr>
    </w:p>
    <w:p w14:paraId="5AF808D2" w14:textId="08A109FA" w:rsidR="003929B4" w:rsidRPr="00A1481B" w:rsidRDefault="004E47A2" w:rsidP="00981F3A">
      <w:pPr>
        <w:pStyle w:val="ListParagraph"/>
        <w:keepNext/>
        <w:numPr>
          <w:ilvl w:val="1"/>
          <w:numId w:val="3"/>
        </w:numPr>
        <w:tabs>
          <w:tab w:val="left" w:pos="993"/>
        </w:tabs>
        <w:autoSpaceDE w:val="0"/>
        <w:autoSpaceDN w:val="0"/>
        <w:adjustRightInd w:val="0"/>
        <w:spacing w:after="0" w:line="240" w:lineRule="auto"/>
        <w:ind w:left="0" w:firstLine="426"/>
        <w:jc w:val="both"/>
        <w:rPr>
          <w:rFonts w:ascii="Times New Roman" w:hAnsi="Times New Roman"/>
          <w:sz w:val="24"/>
          <w:szCs w:val="24"/>
        </w:rPr>
      </w:pPr>
      <w:r w:rsidRPr="00A1481B">
        <w:rPr>
          <w:rFonts w:ascii="Times New Roman" w:hAnsi="Times New Roman"/>
          <w:sz w:val="24"/>
          <w:szCs w:val="24"/>
          <w:lang w:val="en-US"/>
        </w:rPr>
        <w:t xml:space="preserve">The </w:t>
      </w:r>
      <w:r w:rsidR="003F2A4B">
        <w:rPr>
          <w:rFonts w:ascii="Times New Roman" w:hAnsi="Times New Roman"/>
          <w:sz w:val="24"/>
          <w:szCs w:val="24"/>
          <w:lang w:val="en-US"/>
        </w:rPr>
        <w:t>objective</w:t>
      </w:r>
      <w:r w:rsidRPr="00A1481B">
        <w:rPr>
          <w:rFonts w:ascii="Times New Roman" w:hAnsi="Times New Roman"/>
          <w:sz w:val="24"/>
          <w:szCs w:val="24"/>
          <w:lang w:val="en-US"/>
        </w:rPr>
        <w:t xml:space="preserve"> of the Contract concluded with each Insurer </w:t>
      </w:r>
      <w:r w:rsidR="0059278A">
        <w:rPr>
          <w:rFonts w:ascii="Times New Roman" w:hAnsi="Times New Roman"/>
          <w:sz w:val="24"/>
          <w:szCs w:val="24"/>
          <w:lang w:val="en-US"/>
        </w:rPr>
        <w:t>shall be</w:t>
      </w:r>
      <w:r w:rsidRPr="00A1481B">
        <w:rPr>
          <w:rFonts w:ascii="Times New Roman" w:hAnsi="Times New Roman"/>
          <w:sz w:val="24"/>
          <w:szCs w:val="24"/>
          <w:lang w:val="en-US"/>
        </w:rPr>
        <w:t xml:space="preserve"> the implementation of the TCIPG </w:t>
      </w:r>
      <w:r w:rsidR="003F2A4B">
        <w:rPr>
          <w:rFonts w:ascii="Times New Roman" w:hAnsi="Times New Roman"/>
          <w:sz w:val="24"/>
          <w:szCs w:val="24"/>
          <w:lang w:val="en-US"/>
        </w:rPr>
        <w:t>instrument</w:t>
      </w:r>
      <w:r w:rsidRPr="00A1481B">
        <w:rPr>
          <w:rFonts w:ascii="Times New Roman" w:hAnsi="Times New Roman"/>
          <w:sz w:val="24"/>
          <w:szCs w:val="24"/>
          <w:lang w:val="en-US"/>
        </w:rPr>
        <w:t xml:space="preserve"> in accordance with the conditions set out in this Description. </w:t>
      </w:r>
    </w:p>
    <w:p w14:paraId="78774943" w14:textId="171BE669" w:rsidR="00C519CB" w:rsidRPr="008474C6" w:rsidRDefault="004E47A2" w:rsidP="00035106">
      <w:pPr>
        <w:pStyle w:val="ListParagraph"/>
        <w:numPr>
          <w:ilvl w:val="1"/>
          <w:numId w:val="3"/>
        </w:numPr>
        <w:tabs>
          <w:tab w:val="left" w:pos="993"/>
        </w:tabs>
        <w:autoSpaceDE w:val="0"/>
        <w:autoSpaceDN w:val="0"/>
        <w:adjustRightInd w:val="0"/>
        <w:spacing w:after="0" w:line="240" w:lineRule="auto"/>
        <w:ind w:left="0" w:firstLine="426"/>
        <w:jc w:val="both"/>
        <w:rPr>
          <w:rFonts w:ascii="Times New Roman" w:hAnsi="Times New Roman"/>
          <w:sz w:val="24"/>
          <w:szCs w:val="24"/>
        </w:rPr>
      </w:pPr>
      <w:r w:rsidRPr="00A1481B">
        <w:rPr>
          <w:rFonts w:ascii="Times New Roman" w:hAnsi="Times New Roman"/>
          <w:sz w:val="24"/>
          <w:szCs w:val="24"/>
          <w:lang w:val="en-US"/>
        </w:rPr>
        <w:t xml:space="preserve">The Insurer shall be reimbursed for administrative costs </w:t>
      </w:r>
      <w:r w:rsidR="0059278A">
        <w:rPr>
          <w:rFonts w:ascii="Times New Roman" w:hAnsi="Times New Roman"/>
          <w:sz w:val="24"/>
          <w:szCs w:val="24"/>
          <w:lang w:val="en-US"/>
        </w:rPr>
        <w:t>arising from</w:t>
      </w:r>
      <w:r w:rsidRPr="00A1481B">
        <w:rPr>
          <w:rFonts w:ascii="Times New Roman" w:hAnsi="Times New Roman"/>
          <w:sz w:val="24"/>
          <w:szCs w:val="24"/>
          <w:lang w:val="en-US"/>
        </w:rPr>
        <w:t xml:space="preserve"> the implementation of the TCIPG </w:t>
      </w:r>
      <w:r w:rsidR="003F2A4B">
        <w:rPr>
          <w:rFonts w:ascii="Times New Roman" w:hAnsi="Times New Roman"/>
          <w:sz w:val="24"/>
          <w:szCs w:val="24"/>
          <w:lang w:val="en-US"/>
        </w:rPr>
        <w:t>instrument</w:t>
      </w:r>
      <w:r w:rsidRPr="00A1481B">
        <w:rPr>
          <w:rFonts w:ascii="Times New Roman" w:hAnsi="Times New Roman"/>
          <w:sz w:val="24"/>
          <w:szCs w:val="24"/>
          <w:lang w:val="en-US"/>
        </w:rPr>
        <w:t xml:space="preserve">. </w:t>
      </w:r>
    </w:p>
    <w:p w14:paraId="13427B8A" w14:textId="24630A83" w:rsidR="00053F2D" w:rsidRPr="00A1481B" w:rsidRDefault="0059278A" w:rsidP="00B40D9A">
      <w:pPr>
        <w:pStyle w:val="ListParagraph"/>
        <w:numPr>
          <w:ilvl w:val="1"/>
          <w:numId w:val="3"/>
        </w:numPr>
        <w:tabs>
          <w:tab w:val="left" w:pos="851"/>
        </w:tabs>
        <w:autoSpaceDE w:val="0"/>
        <w:autoSpaceDN w:val="0"/>
        <w:adjustRightInd w:val="0"/>
        <w:spacing w:after="0" w:line="240" w:lineRule="auto"/>
        <w:ind w:left="0" w:firstLine="426"/>
        <w:jc w:val="both"/>
        <w:rPr>
          <w:rFonts w:ascii="Times New Roman" w:hAnsi="Times New Roman"/>
          <w:i/>
          <w:sz w:val="24"/>
        </w:rPr>
      </w:pPr>
      <w:r>
        <w:rPr>
          <w:rFonts w:ascii="Times New Roman" w:hAnsi="Times New Roman"/>
          <w:sz w:val="24"/>
          <w:szCs w:val="24"/>
          <w:lang w:val="en-US"/>
        </w:rPr>
        <w:t>The d</w:t>
      </w:r>
      <w:r w:rsidR="004E47A2" w:rsidRPr="00A1481B">
        <w:rPr>
          <w:rFonts w:ascii="Times New Roman" w:hAnsi="Times New Roman"/>
          <w:sz w:val="24"/>
          <w:szCs w:val="24"/>
          <w:lang w:val="en-US"/>
        </w:rPr>
        <w:t xml:space="preserve">escription of the functioning of the TCIPG </w:t>
      </w:r>
      <w:r w:rsidR="003F2A4B">
        <w:rPr>
          <w:rFonts w:ascii="Times New Roman" w:hAnsi="Times New Roman"/>
          <w:sz w:val="24"/>
          <w:szCs w:val="24"/>
          <w:lang w:val="en-US"/>
        </w:rPr>
        <w:t>instrument</w:t>
      </w:r>
      <w:r w:rsidR="004E47A2">
        <w:rPr>
          <w:rStyle w:val="FootnoteReference"/>
          <w:rFonts w:ascii="Times New Roman" w:hAnsi="Times New Roman"/>
          <w:sz w:val="24"/>
        </w:rPr>
        <w:footnoteReference w:id="2"/>
      </w:r>
      <w:r w:rsidR="004E47A2" w:rsidRPr="00A1481B">
        <w:rPr>
          <w:rFonts w:ascii="Times New Roman" w:hAnsi="Times New Roman"/>
          <w:sz w:val="24"/>
          <w:szCs w:val="24"/>
          <w:lang w:val="en-US"/>
        </w:rPr>
        <w:t xml:space="preserve"> :</w:t>
      </w:r>
    </w:p>
    <w:p w14:paraId="788A1BB2" w14:textId="1BA291AD" w:rsidR="002E4CFB" w:rsidRDefault="004E47A2" w:rsidP="00035106">
      <w:pPr>
        <w:pStyle w:val="ListParagraph"/>
        <w:numPr>
          <w:ilvl w:val="2"/>
          <w:numId w:val="3"/>
        </w:numPr>
        <w:tabs>
          <w:tab w:val="left" w:pos="993"/>
        </w:tabs>
        <w:autoSpaceDE w:val="0"/>
        <w:autoSpaceDN w:val="0"/>
        <w:adjustRightInd w:val="0"/>
        <w:spacing w:after="0" w:line="240" w:lineRule="auto"/>
        <w:ind w:left="0" w:firstLine="426"/>
        <w:jc w:val="both"/>
        <w:rPr>
          <w:rFonts w:ascii="Times New Roman" w:hAnsi="Times New Roman"/>
          <w:bCs/>
          <w:sz w:val="24"/>
          <w:szCs w:val="24"/>
        </w:rPr>
      </w:pPr>
      <w:r w:rsidRPr="00A1481B">
        <w:rPr>
          <w:rFonts w:ascii="Times New Roman" w:hAnsi="Times New Roman"/>
          <w:bCs/>
          <w:sz w:val="24"/>
          <w:szCs w:val="24"/>
          <w:lang w:val="en-US"/>
        </w:rPr>
        <w:t xml:space="preserve">The Insurance Portfolio Guarantee (hereinafter referred to as the Guarantee) shall be provided to </w:t>
      </w:r>
      <w:r w:rsidR="0059278A">
        <w:rPr>
          <w:rFonts w:ascii="Times New Roman" w:hAnsi="Times New Roman"/>
          <w:bCs/>
          <w:sz w:val="24"/>
          <w:szCs w:val="24"/>
          <w:lang w:val="en-US"/>
        </w:rPr>
        <w:t>an</w:t>
      </w:r>
      <w:r w:rsidRPr="00A1481B">
        <w:rPr>
          <w:rFonts w:ascii="Times New Roman" w:hAnsi="Times New Roman"/>
          <w:bCs/>
          <w:sz w:val="24"/>
          <w:szCs w:val="24"/>
          <w:lang w:val="en-US"/>
        </w:rPr>
        <w:t xml:space="preserve"> Insurance </w:t>
      </w:r>
      <w:r w:rsidR="003D2BF0">
        <w:rPr>
          <w:rFonts w:ascii="Times New Roman" w:hAnsi="Times New Roman"/>
          <w:bCs/>
          <w:sz w:val="24"/>
          <w:szCs w:val="24"/>
          <w:lang w:val="en-US"/>
        </w:rPr>
        <w:t>p</w:t>
      </w:r>
      <w:r w:rsidRPr="00A1481B">
        <w:rPr>
          <w:rFonts w:ascii="Times New Roman" w:hAnsi="Times New Roman"/>
          <w:bCs/>
          <w:sz w:val="24"/>
          <w:szCs w:val="24"/>
          <w:lang w:val="en-US"/>
        </w:rPr>
        <w:t xml:space="preserve">ortfolio formed by each Insurer with </w:t>
      </w:r>
      <w:r w:rsidR="008D528B">
        <w:rPr>
          <w:rFonts w:ascii="Times New Roman" w:hAnsi="Times New Roman"/>
          <w:bCs/>
          <w:sz w:val="24"/>
          <w:szCs w:val="24"/>
          <w:lang w:val="en-US"/>
        </w:rPr>
        <w:t>which</w:t>
      </w:r>
      <w:r w:rsidRPr="00A1481B">
        <w:rPr>
          <w:rFonts w:ascii="Times New Roman" w:hAnsi="Times New Roman"/>
          <w:bCs/>
          <w:sz w:val="24"/>
          <w:szCs w:val="24"/>
          <w:lang w:val="en-US"/>
        </w:rPr>
        <w:t xml:space="preserve"> the Contract has been signed, which reduces the risk of Insurance </w:t>
      </w:r>
      <w:r w:rsidR="003D2BF0">
        <w:rPr>
          <w:rFonts w:ascii="Times New Roman" w:hAnsi="Times New Roman"/>
          <w:bCs/>
          <w:sz w:val="24"/>
          <w:szCs w:val="24"/>
          <w:lang w:val="en-US"/>
        </w:rPr>
        <w:t>p</w:t>
      </w:r>
      <w:r w:rsidRPr="00A1481B">
        <w:rPr>
          <w:rFonts w:ascii="Times New Roman" w:hAnsi="Times New Roman"/>
          <w:bCs/>
          <w:sz w:val="24"/>
          <w:szCs w:val="24"/>
          <w:lang w:val="en-US"/>
        </w:rPr>
        <w:t xml:space="preserve">ortfolio loss. </w:t>
      </w:r>
    </w:p>
    <w:p w14:paraId="65556F34" w14:textId="49176EC2" w:rsidR="00F31E75" w:rsidRDefault="004E47A2" w:rsidP="0073010E">
      <w:pPr>
        <w:pStyle w:val="ListParagraph"/>
        <w:numPr>
          <w:ilvl w:val="2"/>
          <w:numId w:val="3"/>
        </w:numPr>
        <w:tabs>
          <w:tab w:val="left" w:pos="993"/>
        </w:tabs>
        <w:autoSpaceDE w:val="0"/>
        <w:autoSpaceDN w:val="0"/>
        <w:adjustRightInd w:val="0"/>
        <w:spacing w:after="0" w:line="240" w:lineRule="auto"/>
        <w:ind w:left="0" w:firstLine="426"/>
        <w:jc w:val="both"/>
        <w:rPr>
          <w:rFonts w:ascii="Times New Roman" w:hAnsi="Times New Roman"/>
          <w:bCs/>
          <w:sz w:val="24"/>
          <w:szCs w:val="24"/>
        </w:rPr>
      </w:pPr>
      <w:r>
        <w:rPr>
          <w:rFonts w:ascii="Times New Roman" w:hAnsi="Times New Roman"/>
          <w:bCs/>
          <w:sz w:val="24"/>
          <w:szCs w:val="24"/>
          <w:lang w:val="en-US"/>
        </w:rPr>
        <w:t>The Guarantee shall apply in 2 stages:</w:t>
      </w:r>
    </w:p>
    <w:p w14:paraId="1997FB54" w14:textId="68BC36E8" w:rsidR="00A67681" w:rsidRDefault="004E47A2" w:rsidP="001B4057">
      <w:pPr>
        <w:pStyle w:val="ListParagraph"/>
        <w:tabs>
          <w:tab w:val="left" w:pos="993"/>
        </w:tabs>
        <w:autoSpaceDE w:val="0"/>
        <w:autoSpaceDN w:val="0"/>
        <w:adjustRightInd w:val="0"/>
        <w:spacing w:after="0" w:line="240" w:lineRule="auto"/>
        <w:ind w:left="142" w:firstLine="425"/>
        <w:jc w:val="both"/>
        <w:rPr>
          <w:rFonts w:ascii="Times New Roman" w:hAnsi="Times New Roman"/>
          <w:bCs/>
          <w:sz w:val="24"/>
          <w:szCs w:val="24"/>
        </w:rPr>
      </w:pPr>
      <w:r>
        <w:rPr>
          <w:rFonts w:ascii="Times New Roman" w:hAnsi="Times New Roman"/>
          <w:bCs/>
          <w:sz w:val="24"/>
          <w:szCs w:val="24"/>
          <w:lang w:val="en-US"/>
        </w:rPr>
        <w:t xml:space="preserve">- each Insurer participating in the TCIPG </w:t>
      </w:r>
      <w:r w:rsidR="003F2A4B">
        <w:rPr>
          <w:rFonts w:ascii="Times New Roman" w:hAnsi="Times New Roman"/>
          <w:bCs/>
          <w:sz w:val="24"/>
          <w:szCs w:val="24"/>
          <w:lang w:val="en-US"/>
        </w:rPr>
        <w:t>instrument</w:t>
      </w:r>
      <w:r>
        <w:rPr>
          <w:rFonts w:ascii="Times New Roman" w:hAnsi="Times New Roman"/>
          <w:bCs/>
          <w:sz w:val="24"/>
          <w:szCs w:val="24"/>
          <w:lang w:val="en-US"/>
        </w:rPr>
        <w:t xml:space="preserve"> shall be allocated a part of the amount of funds earmarked for the TCIPG </w:t>
      </w:r>
      <w:r w:rsidR="003F2A4B">
        <w:rPr>
          <w:rFonts w:ascii="Times New Roman" w:hAnsi="Times New Roman"/>
          <w:bCs/>
          <w:sz w:val="24"/>
          <w:szCs w:val="24"/>
          <w:lang w:val="en-US"/>
        </w:rPr>
        <w:t>instrument</w:t>
      </w:r>
      <w:r>
        <w:rPr>
          <w:rFonts w:ascii="Times New Roman" w:hAnsi="Times New Roman"/>
          <w:bCs/>
          <w:sz w:val="24"/>
          <w:szCs w:val="24"/>
          <w:lang w:val="en-US"/>
        </w:rPr>
        <w:t xml:space="preserve"> as provided in </w:t>
      </w:r>
      <w:r w:rsidR="00E66A2E">
        <w:rPr>
          <w:rFonts w:ascii="Times New Roman" w:hAnsi="Times New Roman"/>
          <w:bCs/>
          <w:sz w:val="24"/>
          <w:szCs w:val="24"/>
          <w:lang w:val="en-US"/>
        </w:rPr>
        <w:t>Part</w:t>
      </w:r>
      <w:r>
        <w:rPr>
          <w:rFonts w:ascii="Times New Roman" w:hAnsi="Times New Roman"/>
          <w:bCs/>
          <w:sz w:val="24"/>
          <w:szCs w:val="24"/>
          <w:lang w:val="en-US"/>
        </w:rPr>
        <w:t xml:space="preserve"> 6 of the Description, </w:t>
      </w:r>
    </w:p>
    <w:p w14:paraId="76918C65" w14:textId="0CEE8119" w:rsidR="0073010E" w:rsidRDefault="004E47A2" w:rsidP="001B4057">
      <w:pPr>
        <w:pStyle w:val="ListParagraph"/>
        <w:tabs>
          <w:tab w:val="left" w:pos="993"/>
        </w:tabs>
        <w:autoSpaceDE w:val="0"/>
        <w:autoSpaceDN w:val="0"/>
        <w:adjustRightInd w:val="0"/>
        <w:spacing w:after="0" w:line="240" w:lineRule="auto"/>
        <w:ind w:left="142" w:firstLine="425"/>
        <w:jc w:val="both"/>
        <w:rPr>
          <w:rFonts w:ascii="Times New Roman" w:hAnsi="Times New Roman"/>
          <w:bCs/>
          <w:sz w:val="24"/>
          <w:szCs w:val="24"/>
        </w:rPr>
      </w:pPr>
      <w:r>
        <w:rPr>
          <w:rFonts w:ascii="Times New Roman" w:hAnsi="Times New Roman"/>
          <w:bCs/>
          <w:sz w:val="24"/>
          <w:szCs w:val="24"/>
          <w:lang w:val="en-US"/>
        </w:rPr>
        <w:t xml:space="preserve">- at stage 1, Insurers </w:t>
      </w:r>
      <w:r w:rsidR="00E66A2E">
        <w:rPr>
          <w:rFonts w:ascii="Times New Roman" w:hAnsi="Times New Roman"/>
          <w:bCs/>
          <w:sz w:val="24"/>
          <w:szCs w:val="24"/>
          <w:lang w:val="en-US"/>
        </w:rPr>
        <w:t xml:space="preserve">shall </w:t>
      </w:r>
      <w:r>
        <w:rPr>
          <w:rFonts w:ascii="Times New Roman" w:hAnsi="Times New Roman"/>
          <w:bCs/>
          <w:sz w:val="24"/>
          <w:szCs w:val="24"/>
          <w:lang w:val="en-US"/>
        </w:rPr>
        <w:t xml:space="preserve">assume 10% of the loss incurred by the formed Insurance </w:t>
      </w:r>
      <w:r w:rsidR="003D2BF0">
        <w:rPr>
          <w:rFonts w:ascii="Times New Roman" w:hAnsi="Times New Roman"/>
          <w:bCs/>
          <w:sz w:val="24"/>
          <w:szCs w:val="24"/>
          <w:lang w:val="en-US"/>
        </w:rPr>
        <w:t>p</w:t>
      </w:r>
      <w:r>
        <w:rPr>
          <w:rFonts w:ascii="Times New Roman" w:hAnsi="Times New Roman"/>
          <w:bCs/>
          <w:sz w:val="24"/>
          <w:szCs w:val="24"/>
          <w:lang w:val="en-US"/>
        </w:rPr>
        <w:t xml:space="preserve">ortfolio, but not exceeding the total loss coverage volume of EUR </w:t>
      </w:r>
      <w:r w:rsidR="00C35618">
        <w:rPr>
          <w:rFonts w:ascii="Times New Roman" w:hAnsi="Times New Roman"/>
          <w:bCs/>
          <w:sz w:val="24"/>
          <w:szCs w:val="24"/>
          <w:lang w:val="en-US"/>
        </w:rPr>
        <w:t>10</w:t>
      </w:r>
      <w:r>
        <w:rPr>
          <w:rFonts w:ascii="Times New Roman" w:hAnsi="Times New Roman"/>
          <w:bCs/>
          <w:sz w:val="24"/>
          <w:szCs w:val="24"/>
          <w:lang w:val="en-US"/>
        </w:rPr>
        <w:t xml:space="preserve"> million, and Invega </w:t>
      </w:r>
      <w:r w:rsidR="000117ED">
        <w:rPr>
          <w:rFonts w:ascii="Times New Roman" w:hAnsi="Times New Roman"/>
          <w:bCs/>
          <w:sz w:val="24"/>
          <w:szCs w:val="24"/>
          <w:lang w:val="en-US"/>
        </w:rPr>
        <w:t xml:space="preserve">shall </w:t>
      </w:r>
      <w:r>
        <w:rPr>
          <w:rFonts w:ascii="Times New Roman" w:hAnsi="Times New Roman"/>
          <w:bCs/>
          <w:sz w:val="24"/>
          <w:szCs w:val="24"/>
          <w:lang w:val="en-US"/>
        </w:rPr>
        <w:t xml:space="preserve">assume 90% of the loss incurred by the Insurance </w:t>
      </w:r>
      <w:r w:rsidR="003D2BF0">
        <w:rPr>
          <w:rFonts w:ascii="Times New Roman" w:hAnsi="Times New Roman"/>
          <w:bCs/>
          <w:sz w:val="24"/>
          <w:szCs w:val="24"/>
          <w:lang w:val="en-US"/>
        </w:rPr>
        <w:t>p</w:t>
      </w:r>
      <w:r>
        <w:rPr>
          <w:rFonts w:ascii="Times New Roman" w:hAnsi="Times New Roman"/>
          <w:bCs/>
          <w:sz w:val="24"/>
          <w:szCs w:val="24"/>
          <w:lang w:val="en-US"/>
        </w:rPr>
        <w:t xml:space="preserve">ortfolio formed by the Insurers, but not exceeding the total loss coverage volume of EUR </w:t>
      </w:r>
      <w:r w:rsidR="00C35618">
        <w:rPr>
          <w:rFonts w:ascii="Times New Roman" w:hAnsi="Times New Roman"/>
          <w:bCs/>
          <w:sz w:val="24"/>
          <w:szCs w:val="24"/>
          <w:lang w:val="en-US"/>
        </w:rPr>
        <w:t>90</w:t>
      </w:r>
      <w:r>
        <w:rPr>
          <w:rFonts w:ascii="Times New Roman" w:hAnsi="Times New Roman"/>
          <w:bCs/>
          <w:sz w:val="24"/>
          <w:szCs w:val="24"/>
          <w:lang w:val="en-US"/>
        </w:rPr>
        <w:t xml:space="preserve"> million,</w:t>
      </w:r>
    </w:p>
    <w:p w14:paraId="48C3F873" w14:textId="0FDFD751" w:rsidR="00A67681" w:rsidRDefault="004E47A2" w:rsidP="001B4057">
      <w:pPr>
        <w:pStyle w:val="ListParagraph"/>
        <w:tabs>
          <w:tab w:val="left" w:pos="993"/>
        </w:tabs>
        <w:autoSpaceDE w:val="0"/>
        <w:autoSpaceDN w:val="0"/>
        <w:adjustRightInd w:val="0"/>
        <w:spacing w:after="0" w:line="240" w:lineRule="auto"/>
        <w:ind w:left="142" w:firstLine="425"/>
        <w:jc w:val="both"/>
        <w:rPr>
          <w:rFonts w:ascii="Times New Roman" w:hAnsi="Times New Roman"/>
          <w:bCs/>
          <w:sz w:val="24"/>
          <w:szCs w:val="24"/>
        </w:rPr>
      </w:pPr>
      <w:r>
        <w:rPr>
          <w:rFonts w:ascii="Times New Roman" w:hAnsi="Times New Roman"/>
          <w:bCs/>
          <w:sz w:val="24"/>
          <w:szCs w:val="24"/>
          <w:lang w:val="en-US"/>
        </w:rPr>
        <w:t>- whe</w:t>
      </w:r>
      <w:r w:rsidR="000117ED">
        <w:rPr>
          <w:rFonts w:ascii="Times New Roman" w:hAnsi="Times New Roman"/>
          <w:bCs/>
          <w:sz w:val="24"/>
          <w:szCs w:val="24"/>
          <w:lang w:val="en-US"/>
        </w:rPr>
        <w:t>re</w:t>
      </w:r>
      <w:r>
        <w:rPr>
          <w:rFonts w:ascii="Times New Roman" w:hAnsi="Times New Roman"/>
          <w:bCs/>
          <w:sz w:val="24"/>
          <w:szCs w:val="24"/>
          <w:lang w:val="en-US"/>
        </w:rPr>
        <w:t xml:space="preserve"> the total loss of the Insurers' Insurance </w:t>
      </w:r>
      <w:r w:rsidR="003D2BF0">
        <w:rPr>
          <w:rFonts w:ascii="Times New Roman" w:hAnsi="Times New Roman"/>
          <w:bCs/>
          <w:sz w:val="24"/>
          <w:szCs w:val="24"/>
          <w:lang w:val="en-US"/>
        </w:rPr>
        <w:t>p</w:t>
      </w:r>
      <w:r>
        <w:rPr>
          <w:rFonts w:ascii="Times New Roman" w:hAnsi="Times New Roman"/>
          <w:bCs/>
          <w:sz w:val="24"/>
          <w:szCs w:val="24"/>
          <w:lang w:val="en-US"/>
        </w:rPr>
        <w:t xml:space="preserve">ortfolios exceeds the total </w:t>
      </w:r>
      <w:r w:rsidR="000117ED">
        <w:rPr>
          <w:rFonts w:ascii="Times New Roman" w:hAnsi="Times New Roman"/>
          <w:bCs/>
          <w:sz w:val="24"/>
          <w:szCs w:val="24"/>
          <w:lang w:val="en-US"/>
        </w:rPr>
        <w:t>volume</w:t>
      </w:r>
      <w:r>
        <w:rPr>
          <w:rFonts w:ascii="Times New Roman" w:hAnsi="Times New Roman"/>
          <w:bCs/>
          <w:sz w:val="24"/>
          <w:szCs w:val="24"/>
          <w:lang w:val="en-US"/>
        </w:rPr>
        <w:t xml:space="preserve"> of loss coverage provided for in </w:t>
      </w:r>
      <w:r w:rsidR="000117ED">
        <w:rPr>
          <w:rFonts w:ascii="Times New Roman" w:hAnsi="Times New Roman"/>
          <w:bCs/>
          <w:sz w:val="24"/>
          <w:szCs w:val="24"/>
          <w:lang w:val="en-US"/>
        </w:rPr>
        <w:t>s</w:t>
      </w:r>
      <w:r>
        <w:rPr>
          <w:rFonts w:ascii="Times New Roman" w:hAnsi="Times New Roman"/>
          <w:bCs/>
          <w:sz w:val="24"/>
          <w:szCs w:val="24"/>
          <w:lang w:val="en-US"/>
        </w:rPr>
        <w:t xml:space="preserve">tage 1, at stage 2 Invega shall assume 100% of losses incurred by the formed Insurance </w:t>
      </w:r>
      <w:r w:rsidR="003D2BF0">
        <w:rPr>
          <w:rFonts w:ascii="Times New Roman" w:hAnsi="Times New Roman"/>
          <w:bCs/>
          <w:sz w:val="24"/>
          <w:szCs w:val="24"/>
          <w:lang w:val="en-US"/>
        </w:rPr>
        <w:t>p</w:t>
      </w:r>
      <w:r>
        <w:rPr>
          <w:rFonts w:ascii="Times New Roman" w:hAnsi="Times New Roman"/>
          <w:bCs/>
          <w:sz w:val="24"/>
          <w:szCs w:val="24"/>
          <w:lang w:val="en-US"/>
        </w:rPr>
        <w:t>ortfolios, but not exceeding</w:t>
      </w:r>
      <w:r w:rsidR="000117ED" w:rsidRPr="000117ED">
        <w:rPr>
          <w:rFonts w:ascii="Times New Roman" w:hAnsi="Times New Roman"/>
          <w:bCs/>
          <w:sz w:val="24"/>
          <w:szCs w:val="24"/>
          <w:lang w:val="en-US"/>
        </w:rPr>
        <w:t xml:space="preserve"> </w:t>
      </w:r>
      <w:r w:rsidR="000117ED">
        <w:rPr>
          <w:rFonts w:ascii="Times New Roman" w:hAnsi="Times New Roman"/>
          <w:bCs/>
          <w:sz w:val="24"/>
          <w:szCs w:val="24"/>
          <w:lang w:val="en-US"/>
        </w:rPr>
        <w:t>EUR</w:t>
      </w:r>
      <w:r w:rsidR="000755B2">
        <w:rPr>
          <w:rFonts w:ascii="Times New Roman" w:hAnsi="Times New Roman"/>
          <w:bCs/>
          <w:sz w:val="24"/>
          <w:szCs w:val="24"/>
          <w:lang w:val="en-US"/>
        </w:rPr>
        <w:t xml:space="preserve"> </w:t>
      </w:r>
      <w:r w:rsidR="00C35618">
        <w:rPr>
          <w:rFonts w:ascii="Times New Roman" w:hAnsi="Times New Roman"/>
          <w:bCs/>
          <w:sz w:val="24"/>
          <w:szCs w:val="24"/>
          <w:lang w:val="en-US"/>
        </w:rPr>
        <w:t>500</w:t>
      </w:r>
      <w:r>
        <w:rPr>
          <w:rFonts w:ascii="Times New Roman" w:hAnsi="Times New Roman"/>
          <w:bCs/>
          <w:sz w:val="24"/>
          <w:szCs w:val="24"/>
          <w:lang w:val="en-US"/>
        </w:rPr>
        <w:t xml:space="preserve"> million</w:t>
      </w:r>
      <w:r w:rsidR="00C35618">
        <w:rPr>
          <w:rFonts w:ascii="Times New Roman" w:hAnsi="Times New Roman"/>
          <w:bCs/>
          <w:sz w:val="24"/>
          <w:szCs w:val="24"/>
          <w:lang w:val="en-US"/>
        </w:rPr>
        <w:t>*</w:t>
      </w:r>
      <w:r>
        <w:rPr>
          <w:rFonts w:ascii="Times New Roman" w:hAnsi="Times New Roman"/>
          <w:bCs/>
          <w:sz w:val="24"/>
          <w:szCs w:val="24"/>
          <w:lang w:val="en-US"/>
        </w:rPr>
        <w:t xml:space="preserve"> </w:t>
      </w:r>
      <w:r w:rsidR="000117ED">
        <w:rPr>
          <w:rFonts w:ascii="Times New Roman" w:hAnsi="Times New Roman"/>
          <w:bCs/>
          <w:sz w:val="24"/>
          <w:szCs w:val="24"/>
          <w:lang w:val="en-US"/>
        </w:rPr>
        <w:t xml:space="preserve">of </w:t>
      </w:r>
      <w:r>
        <w:rPr>
          <w:rFonts w:ascii="Times New Roman" w:hAnsi="Times New Roman"/>
          <w:bCs/>
          <w:sz w:val="24"/>
          <w:szCs w:val="24"/>
          <w:lang w:val="en-US"/>
        </w:rPr>
        <w:t>total loss coverage volumes.</w:t>
      </w:r>
    </w:p>
    <w:p w14:paraId="211F3410" w14:textId="0BF7714A" w:rsidR="001236FA" w:rsidRPr="001236FA" w:rsidRDefault="004E47A2" w:rsidP="00DB7091">
      <w:pPr>
        <w:pStyle w:val="ListParagraph"/>
        <w:numPr>
          <w:ilvl w:val="2"/>
          <w:numId w:val="3"/>
        </w:numPr>
        <w:tabs>
          <w:tab w:val="left" w:pos="709"/>
          <w:tab w:val="left" w:pos="1134"/>
        </w:tabs>
        <w:autoSpaceDE w:val="0"/>
        <w:autoSpaceDN w:val="0"/>
        <w:adjustRightInd w:val="0"/>
        <w:spacing w:after="0" w:line="240" w:lineRule="auto"/>
        <w:ind w:left="142" w:firstLine="347"/>
        <w:jc w:val="both"/>
        <w:rPr>
          <w:rFonts w:ascii="Times New Roman" w:hAnsi="Times New Roman"/>
          <w:bCs/>
          <w:sz w:val="24"/>
          <w:szCs w:val="24"/>
        </w:rPr>
      </w:pPr>
      <w:r w:rsidRPr="001236FA">
        <w:rPr>
          <w:rFonts w:ascii="Times New Roman" w:hAnsi="Times New Roman"/>
          <w:bCs/>
          <w:color w:val="000000" w:themeColor="text1"/>
          <w:sz w:val="24"/>
          <w:szCs w:val="24"/>
          <w:lang w:val="en-US"/>
        </w:rPr>
        <w:t xml:space="preserve">The Guarantee </w:t>
      </w:r>
      <w:r w:rsidR="000117ED">
        <w:rPr>
          <w:rFonts w:ascii="Times New Roman" w:hAnsi="Times New Roman"/>
          <w:bCs/>
          <w:color w:val="000000" w:themeColor="text1"/>
          <w:sz w:val="24"/>
          <w:szCs w:val="24"/>
          <w:lang w:val="en-US"/>
        </w:rPr>
        <w:t xml:space="preserve">shall </w:t>
      </w:r>
      <w:r w:rsidRPr="001236FA">
        <w:rPr>
          <w:rFonts w:ascii="Times New Roman" w:hAnsi="Times New Roman"/>
          <w:bCs/>
          <w:color w:val="000000" w:themeColor="text1"/>
          <w:sz w:val="24"/>
          <w:szCs w:val="24"/>
          <w:lang w:val="en-US"/>
        </w:rPr>
        <w:t xml:space="preserve">enter into force </w:t>
      </w:r>
      <w:r w:rsidRPr="001236FA">
        <w:rPr>
          <w:rFonts w:ascii="Times New Roman" w:hAnsi="Times New Roman"/>
          <w:bCs/>
          <w:sz w:val="24"/>
          <w:szCs w:val="24"/>
          <w:lang w:val="en-US"/>
        </w:rPr>
        <w:t xml:space="preserve">automatically for </w:t>
      </w:r>
      <w:r w:rsidR="000117ED">
        <w:rPr>
          <w:rFonts w:ascii="Times New Roman" w:hAnsi="Times New Roman"/>
          <w:bCs/>
          <w:sz w:val="24"/>
          <w:szCs w:val="24"/>
          <w:lang w:val="en-US"/>
        </w:rPr>
        <w:t>an</w:t>
      </w:r>
      <w:r w:rsidRPr="001236FA">
        <w:rPr>
          <w:rFonts w:ascii="Times New Roman" w:hAnsi="Times New Roman"/>
          <w:bCs/>
          <w:sz w:val="24"/>
          <w:szCs w:val="24"/>
          <w:lang w:val="en-US"/>
        </w:rPr>
        <w:t xml:space="preserve"> Insurance </w:t>
      </w:r>
      <w:r w:rsidR="003D2BF0">
        <w:rPr>
          <w:rFonts w:ascii="Times New Roman" w:hAnsi="Times New Roman"/>
          <w:bCs/>
          <w:sz w:val="24"/>
          <w:szCs w:val="24"/>
          <w:lang w:val="en-US"/>
        </w:rPr>
        <w:t>p</w:t>
      </w:r>
      <w:r w:rsidRPr="001236FA">
        <w:rPr>
          <w:rFonts w:ascii="Times New Roman" w:hAnsi="Times New Roman"/>
          <w:bCs/>
          <w:sz w:val="24"/>
          <w:szCs w:val="24"/>
          <w:lang w:val="en-US"/>
        </w:rPr>
        <w:t xml:space="preserve">ortfolio that includes trade credit insurance contracts signed by the Insurers with legal entities (hereinafter referred to as Insurance </w:t>
      </w:r>
      <w:r w:rsidR="003D2BF0">
        <w:rPr>
          <w:rFonts w:ascii="Times New Roman" w:hAnsi="Times New Roman"/>
          <w:bCs/>
          <w:sz w:val="24"/>
          <w:szCs w:val="24"/>
          <w:lang w:val="en-US"/>
        </w:rPr>
        <w:t>c</w:t>
      </w:r>
      <w:r w:rsidRPr="001236FA">
        <w:rPr>
          <w:rFonts w:ascii="Times New Roman" w:hAnsi="Times New Roman"/>
          <w:bCs/>
          <w:sz w:val="24"/>
          <w:szCs w:val="24"/>
          <w:lang w:val="en-US"/>
        </w:rPr>
        <w:t>ontracts)</w:t>
      </w:r>
      <w:r w:rsidR="000117ED">
        <w:rPr>
          <w:rFonts w:ascii="Times New Roman" w:hAnsi="Times New Roman"/>
          <w:bCs/>
          <w:sz w:val="24"/>
          <w:szCs w:val="24"/>
          <w:lang w:val="en-US"/>
        </w:rPr>
        <w:t xml:space="preserve"> </w:t>
      </w:r>
      <w:r w:rsidRPr="001236FA">
        <w:rPr>
          <w:rFonts w:ascii="Times New Roman" w:hAnsi="Times New Roman"/>
          <w:bCs/>
          <w:sz w:val="24"/>
          <w:szCs w:val="24"/>
          <w:lang w:val="en-US"/>
        </w:rPr>
        <w:t xml:space="preserve">in line with the eligibility conditions for Insurance </w:t>
      </w:r>
      <w:r w:rsidR="003D2BF0">
        <w:rPr>
          <w:rFonts w:ascii="Times New Roman" w:hAnsi="Times New Roman"/>
          <w:bCs/>
          <w:sz w:val="24"/>
          <w:szCs w:val="24"/>
          <w:lang w:val="en-US"/>
        </w:rPr>
        <w:t>c</w:t>
      </w:r>
      <w:r w:rsidRPr="001236FA">
        <w:rPr>
          <w:rFonts w:ascii="Times New Roman" w:hAnsi="Times New Roman"/>
          <w:bCs/>
          <w:sz w:val="24"/>
          <w:szCs w:val="24"/>
          <w:lang w:val="en-US"/>
        </w:rPr>
        <w:t xml:space="preserve">ontracts included in Insurance </w:t>
      </w:r>
      <w:r w:rsidR="003D2BF0">
        <w:rPr>
          <w:rFonts w:ascii="Times New Roman" w:hAnsi="Times New Roman"/>
          <w:bCs/>
          <w:sz w:val="24"/>
          <w:szCs w:val="24"/>
          <w:lang w:val="en-US"/>
        </w:rPr>
        <w:t>p</w:t>
      </w:r>
      <w:r w:rsidRPr="001236FA">
        <w:rPr>
          <w:rFonts w:ascii="Times New Roman" w:hAnsi="Times New Roman"/>
          <w:bCs/>
          <w:sz w:val="24"/>
          <w:szCs w:val="24"/>
          <w:lang w:val="en-US"/>
        </w:rPr>
        <w:t xml:space="preserve">ortfolios. </w:t>
      </w:r>
    </w:p>
    <w:p w14:paraId="451D0CF3" w14:textId="0FB5F71E" w:rsidR="00B40D9A" w:rsidRPr="001236FA" w:rsidRDefault="004E47A2" w:rsidP="00C35618">
      <w:pPr>
        <w:pStyle w:val="ListParagraph"/>
        <w:numPr>
          <w:ilvl w:val="2"/>
          <w:numId w:val="3"/>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1236FA">
        <w:rPr>
          <w:rFonts w:ascii="Times New Roman" w:hAnsi="Times New Roman"/>
          <w:bCs/>
          <w:color w:val="000000" w:themeColor="text1"/>
          <w:sz w:val="24"/>
          <w:szCs w:val="24"/>
          <w:lang w:val="en-US"/>
        </w:rPr>
        <w:t xml:space="preserve">A detailed report </w:t>
      </w:r>
      <w:r w:rsidR="000117ED">
        <w:rPr>
          <w:rFonts w:ascii="Times New Roman" w:hAnsi="Times New Roman"/>
          <w:bCs/>
          <w:color w:val="000000" w:themeColor="text1"/>
          <w:sz w:val="24"/>
          <w:szCs w:val="24"/>
          <w:lang w:val="en-US"/>
        </w:rPr>
        <w:t>of</w:t>
      </w:r>
      <w:r w:rsidRPr="001236FA">
        <w:rPr>
          <w:rFonts w:ascii="Times New Roman" w:hAnsi="Times New Roman"/>
          <w:bCs/>
          <w:color w:val="000000" w:themeColor="text1"/>
          <w:sz w:val="24"/>
          <w:szCs w:val="24"/>
          <w:lang w:val="en-US"/>
        </w:rPr>
        <w:t xml:space="preserve"> </w:t>
      </w:r>
      <w:r w:rsidR="000117ED">
        <w:rPr>
          <w:rFonts w:ascii="Times New Roman" w:hAnsi="Times New Roman"/>
          <w:bCs/>
          <w:color w:val="000000" w:themeColor="text1"/>
          <w:sz w:val="24"/>
          <w:szCs w:val="24"/>
          <w:lang w:val="en-US"/>
        </w:rPr>
        <w:t>an</w:t>
      </w:r>
      <w:r w:rsidRPr="001236FA">
        <w:rPr>
          <w:rFonts w:ascii="Times New Roman" w:hAnsi="Times New Roman"/>
          <w:bCs/>
          <w:color w:val="000000" w:themeColor="text1"/>
          <w:sz w:val="24"/>
          <w:szCs w:val="24"/>
          <w:lang w:val="en-US"/>
        </w:rPr>
        <w:t xml:space="preserve"> Insurance </w:t>
      </w:r>
      <w:r w:rsidR="003D2BF0">
        <w:rPr>
          <w:rFonts w:ascii="Times New Roman" w:hAnsi="Times New Roman"/>
          <w:bCs/>
          <w:color w:val="000000" w:themeColor="text1"/>
          <w:sz w:val="24"/>
          <w:szCs w:val="24"/>
          <w:lang w:val="en-US"/>
        </w:rPr>
        <w:t>p</w:t>
      </w:r>
      <w:r w:rsidRPr="001236FA">
        <w:rPr>
          <w:rFonts w:ascii="Times New Roman" w:hAnsi="Times New Roman"/>
          <w:bCs/>
          <w:color w:val="000000" w:themeColor="text1"/>
          <w:sz w:val="24"/>
          <w:szCs w:val="24"/>
          <w:lang w:val="en-US"/>
        </w:rPr>
        <w:t xml:space="preserve">ortfolio shall be prepared once a quarter and submitted to Invega no later than </w:t>
      </w:r>
      <w:r w:rsidR="008C62E4" w:rsidRPr="001236FA">
        <w:rPr>
          <w:rFonts w:ascii="Times New Roman" w:hAnsi="Times New Roman"/>
          <w:sz w:val="24"/>
          <w:szCs w:val="24"/>
          <w:lang w:val="en-US"/>
        </w:rPr>
        <w:t xml:space="preserve">within 30 </w:t>
      </w:r>
      <w:r w:rsidR="00C35618">
        <w:rPr>
          <w:rFonts w:ascii="Times New Roman" w:hAnsi="Times New Roman"/>
          <w:sz w:val="24"/>
          <w:szCs w:val="24"/>
          <w:lang w:val="en-US"/>
        </w:rPr>
        <w:t xml:space="preserve">calendar </w:t>
      </w:r>
      <w:r w:rsidR="008C62E4" w:rsidRPr="001236FA">
        <w:rPr>
          <w:rFonts w:ascii="Times New Roman" w:hAnsi="Times New Roman"/>
          <w:sz w:val="24"/>
          <w:szCs w:val="24"/>
          <w:lang w:val="en-US"/>
        </w:rPr>
        <w:t>days from the end of the reporting quarter.</w:t>
      </w:r>
    </w:p>
    <w:p w14:paraId="06869688" w14:textId="167DC403" w:rsidR="00AB023A" w:rsidRDefault="004E47A2" w:rsidP="00B40D9A">
      <w:pPr>
        <w:pStyle w:val="ListParagraph"/>
        <w:numPr>
          <w:ilvl w:val="1"/>
          <w:numId w:val="3"/>
        </w:numPr>
        <w:tabs>
          <w:tab w:val="left" w:pos="567"/>
          <w:tab w:val="left" w:pos="851"/>
        </w:tabs>
        <w:autoSpaceDE w:val="0"/>
        <w:autoSpaceDN w:val="0"/>
        <w:adjustRightInd w:val="0"/>
        <w:spacing w:after="0" w:line="240" w:lineRule="auto"/>
        <w:ind w:left="0" w:firstLine="360"/>
        <w:jc w:val="both"/>
        <w:rPr>
          <w:rFonts w:ascii="Times New Roman" w:hAnsi="Times New Roman"/>
          <w:bCs/>
          <w:sz w:val="24"/>
          <w:szCs w:val="24"/>
        </w:rPr>
      </w:pPr>
      <w:r>
        <w:rPr>
          <w:rFonts w:ascii="Times New Roman" w:hAnsi="Times New Roman"/>
          <w:bCs/>
          <w:sz w:val="24"/>
          <w:szCs w:val="24"/>
          <w:lang w:val="en-US"/>
        </w:rPr>
        <w:t xml:space="preserve">The Insurer shall transfer </w:t>
      </w:r>
      <w:r w:rsidR="00C63261">
        <w:rPr>
          <w:rFonts w:ascii="Times New Roman" w:hAnsi="Times New Roman"/>
          <w:bCs/>
          <w:sz w:val="24"/>
          <w:szCs w:val="24"/>
          <w:lang w:val="en-US"/>
        </w:rPr>
        <w:t xml:space="preserve">to the INVEGA fund </w:t>
      </w:r>
      <w:r>
        <w:rPr>
          <w:rFonts w:ascii="Times New Roman" w:hAnsi="Times New Roman"/>
          <w:bCs/>
          <w:sz w:val="24"/>
          <w:szCs w:val="24"/>
          <w:lang w:val="en-US"/>
        </w:rPr>
        <w:t xml:space="preserve">all insurance premiums collected in the Insurance </w:t>
      </w:r>
      <w:r w:rsidR="003D2BF0">
        <w:rPr>
          <w:rFonts w:ascii="Times New Roman" w:hAnsi="Times New Roman"/>
          <w:bCs/>
          <w:sz w:val="24"/>
          <w:szCs w:val="24"/>
          <w:lang w:val="en-US"/>
        </w:rPr>
        <w:t>p</w:t>
      </w:r>
      <w:r>
        <w:rPr>
          <w:rFonts w:ascii="Times New Roman" w:hAnsi="Times New Roman"/>
          <w:bCs/>
          <w:sz w:val="24"/>
          <w:szCs w:val="24"/>
          <w:lang w:val="en-US"/>
        </w:rPr>
        <w:t>ortfolio for the whole year of 2020</w:t>
      </w:r>
      <w:r w:rsidR="00C63261">
        <w:rPr>
          <w:rFonts w:ascii="Times New Roman" w:hAnsi="Times New Roman"/>
          <w:bCs/>
          <w:sz w:val="24"/>
          <w:szCs w:val="24"/>
          <w:lang w:val="en-US"/>
        </w:rPr>
        <w:t xml:space="preserve">. </w:t>
      </w:r>
    </w:p>
    <w:p w14:paraId="7449811F" w14:textId="6AF08641" w:rsidR="00B40D9A" w:rsidRPr="009813C6" w:rsidRDefault="004E47A2" w:rsidP="00B40D9A">
      <w:pPr>
        <w:pStyle w:val="ListParagraph"/>
        <w:numPr>
          <w:ilvl w:val="1"/>
          <w:numId w:val="3"/>
        </w:numPr>
        <w:tabs>
          <w:tab w:val="left" w:pos="567"/>
          <w:tab w:val="left" w:pos="851"/>
        </w:tabs>
        <w:autoSpaceDE w:val="0"/>
        <w:autoSpaceDN w:val="0"/>
        <w:adjustRightInd w:val="0"/>
        <w:spacing w:after="0" w:line="240" w:lineRule="auto"/>
        <w:ind w:left="0" w:firstLine="360"/>
        <w:jc w:val="both"/>
        <w:rPr>
          <w:rFonts w:ascii="Times New Roman" w:hAnsi="Times New Roman"/>
          <w:bCs/>
          <w:sz w:val="24"/>
          <w:szCs w:val="24"/>
        </w:rPr>
      </w:pPr>
      <w:r w:rsidRPr="00CE285C">
        <w:rPr>
          <w:rFonts w:ascii="Times New Roman" w:hAnsi="Times New Roman"/>
          <w:bCs/>
          <w:sz w:val="24"/>
          <w:szCs w:val="24"/>
          <w:lang w:val="en-US"/>
        </w:rPr>
        <w:t xml:space="preserve">For the implementation of the TCIPG </w:t>
      </w:r>
      <w:r w:rsidR="003F2A4B">
        <w:rPr>
          <w:rFonts w:ascii="Times New Roman" w:hAnsi="Times New Roman"/>
          <w:bCs/>
          <w:sz w:val="24"/>
          <w:szCs w:val="24"/>
          <w:lang w:val="en-US"/>
        </w:rPr>
        <w:t>instrument</w:t>
      </w:r>
      <w:r w:rsidRPr="00CE285C">
        <w:rPr>
          <w:rFonts w:ascii="Times New Roman" w:hAnsi="Times New Roman"/>
          <w:bCs/>
          <w:sz w:val="24"/>
          <w:szCs w:val="24"/>
          <w:lang w:val="en-US"/>
        </w:rPr>
        <w:t xml:space="preserve">, Invega shall reimburse the manager of the TCIPG </w:t>
      </w:r>
      <w:r w:rsidR="003F2A4B">
        <w:rPr>
          <w:rFonts w:ascii="Times New Roman" w:hAnsi="Times New Roman"/>
          <w:bCs/>
          <w:sz w:val="24"/>
          <w:szCs w:val="24"/>
          <w:lang w:val="en-US"/>
        </w:rPr>
        <w:t>instrument</w:t>
      </w:r>
      <w:r w:rsidR="000117ED">
        <w:rPr>
          <w:rFonts w:ascii="Times New Roman" w:hAnsi="Times New Roman"/>
          <w:bCs/>
          <w:sz w:val="24"/>
          <w:szCs w:val="24"/>
          <w:lang w:val="en-US"/>
        </w:rPr>
        <w:t xml:space="preserve"> for its</w:t>
      </w:r>
      <w:r w:rsidRPr="00CE285C">
        <w:rPr>
          <w:rFonts w:ascii="Times New Roman" w:hAnsi="Times New Roman"/>
          <w:bCs/>
          <w:sz w:val="24"/>
          <w:szCs w:val="24"/>
          <w:lang w:val="en-US"/>
        </w:rPr>
        <w:t xml:space="preserve"> administration costs in the amount of 35% from all </w:t>
      </w:r>
      <w:r w:rsidR="00C35618" w:rsidRPr="00C35618">
        <w:rPr>
          <w:rFonts w:ascii="Times New Roman" w:hAnsi="Times New Roman"/>
          <w:bCs/>
          <w:sz w:val="24"/>
          <w:szCs w:val="24"/>
          <w:lang w:val="en-US"/>
        </w:rPr>
        <w:t xml:space="preserve">insurance premiums of Insurance </w:t>
      </w:r>
      <w:r w:rsidR="00C35618">
        <w:rPr>
          <w:rFonts w:ascii="Times New Roman" w:hAnsi="Times New Roman"/>
          <w:bCs/>
          <w:sz w:val="24"/>
          <w:szCs w:val="24"/>
          <w:lang w:val="en-US"/>
        </w:rPr>
        <w:t>c</w:t>
      </w:r>
      <w:r w:rsidR="00C35618" w:rsidRPr="00C35618">
        <w:rPr>
          <w:rFonts w:ascii="Times New Roman" w:hAnsi="Times New Roman"/>
          <w:bCs/>
          <w:sz w:val="24"/>
          <w:szCs w:val="24"/>
          <w:lang w:val="en-US"/>
        </w:rPr>
        <w:t xml:space="preserve">ontracts included in the Insurance </w:t>
      </w:r>
      <w:r w:rsidR="00C35618">
        <w:rPr>
          <w:rFonts w:ascii="Times New Roman" w:hAnsi="Times New Roman"/>
          <w:bCs/>
          <w:sz w:val="24"/>
          <w:szCs w:val="24"/>
          <w:lang w:val="en-US"/>
        </w:rPr>
        <w:t>p</w:t>
      </w:r>
      <w:r w:rsidR="00C35618" w:rsidRPr="00C35618">
        <w:rPr>
          <w:rFonts w:ascii="Times New Roman" w:hAnsi="Times New Roman"/>
          <w:bCs/>
          <w:sz w:val="24"/>
          <w:szCs w:val="24"/>
          <w:lang w:val="en-US"/>
        </w:rPr>
        <w:t>ortfolio in 2020.</w:t>
      </w:r>
    </w:p>
    <w:p w14:paraId="42EB786C" w14:textId="00D314BF" w:rsidR="006F035E" w:rsidRPr="009813C6" w:rsidRDefault="004E47A2" w:rsidP="00B40D9A">
      <w:pPr>
        <w:pStyle w:val="ListParagraph"/>
        <w:numPr>
          <w:ilvl w:val="1"/>
          <w:numId w:val="3"/>
        </w:numPr>
        <w:tabs>
          <w:tab w:val="left" w:pos="567"/>
          <w:tab w:val="left" w:pos="851"/>
        </w:tabs>
        <w:autoSpaceDE w:val="0"/>
        <w:autoSpaceDN w:val="0"/>
        <w:adjustRightInd w:val="0"/>
        <w:spacing w:after="0" w:line="240" w:lineRule="auto"/>
        <w:ind w:left="0" w:firstLine="360"/>
        <w:jc w:val="both"/>
        <w:rPr>
          <w:rFonts w:ascii="Times New Roman" w:hAnsi="Times New Roman"/>
          <w:bCs/>
          <w:sz w:val="24"/>
          <w:szCs w:val="24"/>
        </w:rPr>
      </w:pPr>
      <w:r w:rsidRPr="009813C6">
        <w:rPr>
          <w:rFonts w:ascii="Times New Roman" w:hAnsi="Times New Roman"/>
          <w:sz w:val="24"/>
          <w:szCs w:val="24"/>
          <w:lang w:val="en-US"/>
        </w:rPr>
        <w:t xml:space="preserve">A detailed description of the conditions of the TCIPG </w:t>
      </w:r>
      <w:r w:rsidR="003F2A4B">
        <w:rPr>
          <w:rFonts w:ascii="Times New Roman" w:hAnsi="Times New Roman"/>
          <w:sz w:val="24"/>
          <w:szCs w:val="24"/>
          <w:lang w:val="en-US"/>
        </w:rPr>
        <w:t>instrument</w:t>
      </w:r>
      <w:r w:rsidRPr="009813C6">
        <w:rPr>
          <w:rFonts w:ascii="Times New Roman" w:hAnsi="Times New Roman"/>
          <w:sz w:val="24"/>
          <w:szCs w:val="24"/>
          <w:lang w:val="en-US"/>
        </w:rPr>
        <w:t xml:space="preserve"> is provided in Annex 1 of the Description (</w:t>
      </w:r>
      <w:r w:rsidR="00BE4374">
        <w:rPr>
          <w:rFonts w:ascii="Times New Roman" w:hAnsi="Times New Roman"/>
          <w:sz w:val="24"/>
          <w:szCs w:val="24"/>
          <w:lang w:val="en-US"/>
        </w:rPr>
        <w:t>Main</w:t>
      </w:r>
      <w:r w:rsidRPr="009813C6">
        <w:rPr>
          <w:rFonts w:ascii="Times New Roman" w:hAnsi="Times New Roman"/>
          <w:sz w:val="24"/>
          <w:szCs w:val="24"/>
          <w:lang w:val="en-US"/>
        </w:rPr>
        <w:t xml:space="preserve"> Conditions).</w:t>
      </w:r>
    </w:p>
    <w:p w14:paraId="5E77B24E" w14:textId="77777777" w:rsidR="008D1382" w:rsidRDefault="008D1382" w:rsidP="0041074D">
      <w:pPr>
        <w:autoSpaceDE w:val="0"/>
        <w:autoSpaceDN w:val="0"/>
        <w:adjustRightInd w:val="0"/>
        <w:spacing w:after="0" w:line="240" w:lineRule="auto"/>
        <w:ind w:firstLine="851"/>
        <w:jc w:val="both"/>
        <w:rPr>
          <w:rFonts w:ascii="Times New Roman" w:hAnsi="Times New Roman"/>
          <w:sz w:val="24"/>
          <w:szCs w:val="24"/>
        </w:rPr>
      </w:pPr>
    </w:p>
    <w:p w14:paraId="310049D5" w14:textId="77777777" w:rsidR="00431922" w:rsidRPr="007B6AD5" w:rsidRDefault="004E47A2" w:rsidP="00BF7FC9">
      <w:pPr>
        <w:pStyle w:val="ListParagraph"/>
        <w:numPr>
          <w:ilvl w:val="0"/>
          <w:numId w:val="1"/>
        </w:numPr>
        <w:tabs>
          <w:tab w:val="left" w:pos="284"/>
        </w:tabs>
        <w:autoSpaceDE w:val="0"/>
        <w:autoSpaceDN w:val="0"/>
        <w:adjustRightInd w:val="0"/>
        <w:spacing w:after="0" w:line="240" w:lineRule="auto"/>
        <w:ind w:left="0" w:firstLine="0"/>
        <w:jc w:val="center"/>
        <w:rPr>
          <w:rFonts w:ascii="Times New Roman" w:hAnsi="Times New Roman"/>
          <w:b/>
          <w:bCs/>
          <w:sz w:val="24"/>
          <w:szCs w:val="24"/>
        </w:rPr>
      </w:pPr>
      <w:r w:rsidRPr="007B6AD5">
        <w:rPr>
          <w:rFonts w:ascii="Times New Roman" w:hAnsi="Times New Roman"/>
          <w:b/>
          <w:bCs/>
          <w:sz w:val="24"/>
          <w:szCs w:val="24"/>
          <w:lang w:val="en-US"/>
        </w:rPr>
        <w:t>SUBMISSION OF THE APPLICATION</w:t>
      </w:r>
    </w:p>
    <w:p w14:paraId="731D2EA4" w14:textId="77777777" w:rsidR="00C23C16" w:rsidRPr="00431922" w:rsidRDefault="00C23C16" w:rsidP="00431922">
      <w:pPr>
        <w:autoSpaceDE w:val="0"/>
        <w:autoSpaceDN w:val="0"/>
        <w:adjustRightInd w:val="0"/>
        <w:spacing w:after="0" w:line="240" w:lineRule="auto"/>
        <w:ind w:firstLine="851"/>
        <w:jc w:val="both"/>
        <w:rPr>
          <w:rFonts w:ascii="Times New Roman" w:hAnsi="Times New Roman"/>
          <w:sz w:val="24"/>
          <w:szCs w:val="24"/>
        </w:rPr>
      </w:pPr>
    </w:p>
    <w:p w14:paraId="4193479C" w14:textId="77777777" w:rsidR="000C696D" w:rsidRPr="000C696D" w:rsidRDefault="000C696D" w:rsidP="00BF7FC9">
      <w:pPr>
        <w:pStyle w:val="ListParagraph"/>
        <w:tabs>
          <w:tab w:val="left" w:pos="1418"/>
        </w:tabs>
        <w:autoSpaceDE w:val="0"/>
        <w:autoSpaceDN w:val="0"/>
        <w:adjustRightInd w:val="0"/>
        <w:spacing w:after="0" w:line="240" w:lineRule="auto"/>
        <w:ind w:left="0" w:firstLine="360"/>
        <w:jc w:val="both"/>
        <w:rPr>
          <w:rFonts w:ascii="Times New Roman" w:hAnsi="Times New Roman"/>
          <w:vanish/>
          <w:sz w:val="24"/>
          <w:szCs w:val="24"/>
        </w:rPr>
      </w:pPr>
    </w:p>
    <w:p w14:paraId="4A2EF33A" w14:textId="03A4A4E9" w:rsidR="00B52574" w:rsidRPr="00213A97" w:rsidRDefault="004E47A2" w:rsidP="00035106">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213A97">
        <w:rPr>
          <w:rFonts w:ascii="Times New Roman" w:hAnsi="Times New Roman"/>
          <w:sz w:val="24"/>
          <w:szCs w:val="24"/>
          <w:lang w:val="en-US"/>
        </w:rPr>
        <w:t xml:space="preserve">The call for applications is scheduled for </w:t>
      </w:r>
      <w:r w:rsidR="003F2A4B">
        <w:rPr>
          <w:rFonts w:ascii="Times New Roman" w:hAnsi="Times New Roman"/>
          <w:sz w:val="24"/>
          <w:szCs w:val="24"/>
          <w:lang w:val="en-US"/>
        </w:rPr>
        <w:t>September</w:t>
      </w:r>
      <w:r w:rsidR="003F2A4B" w:rsidRPr="00213A97">
        <w:rPr>
          <w:rFonts w:ascii="Times New Roman" w:hAnsi="Times New Roman"/>
          <w:sz w:val="24"/>
          <w:szCs w:val="24"/>
          <w:lang w:val="en-US"/>
        </w:rPr>
        <w:t xml:space="preserve"> </w:t>
      </w:r>
      <w:r w:rsidRPr="00213A97">
        <w:rPr>
          <w:rFonts w:ascii="Times New Roman" w:hAnsi="Times New Roman"/>
          <w:sz w:val="24"/>
          <w:szCs w:val="24"/>
          <w:lang w:val="en-US"/>
        </w:rPr>
        <w:t xml:space="preserve">2020. The call </w:t>
      </w:r>
      <w:r w:rsidR="00FA3FBF">
        <w:rPr>
          <w:rFonts w:ascii="Times New Roman" w:hAnsi="Times New Roman"/>
          <w:sz w:val="24"/>
          <w:szCs w:val="24"/>
          <w:lang w:val="en-US"/>
        </w:rPr>
        <w:t>shall be</w:t>
      </w:r>
      <w:r w:rsidRPr="00213A97">
        <w:rPr>
          <w:rFonts w:ascii="Times New Roman" w:hAnsi="Times New Roman"/>
          <w:sz w:val="24"/>
          <w:szCs w:val="24"/>
          <w:lang w:val="en-US"/>
        </w:rPr>
        <w:t xml:space="preserve"> launched </w:t>
      </w:r>
      <w:r w:rsidR="00FA3FBF">
        <w:rPr>
          <w:rFonts w:ascii="Times New Roman" w:hAnsi="Times New Roman"/>
          <w:sz w:val="24"/>
          <w:szCs w:val="24"/>
          <w:lang w:val="en-US"/>
        </w:rPr>
        <w:t>upon</w:t>
      </w:r>
      <w:r w:rsidRPr="00213A97">
        <w:rPr>
          <w:rFonts w:ascii="Times New Roman" w:hAnsi="Times New Roman"/>
          <w:sz w:val="24"/>
          <w:szCs w:val="24"/>
          <w:lang w:val="en-US"/>
        </w:rPr>
        <w:t xml:space="preserve"> the decision of Invega following the notification of the TCIPG aid scheme in accordance with the European Commission Communication on Temporary </w:t>
      </w:r>
      <w:r w:rsidR="00FA3FBF">
        <w:rPr>
          <w:rFonts w:ascii="Times New Roman" w:hAnsi="Times New Roman"/>
          <w:sz w:val="24"/>
          <w:szCs w:val="24"/>
          <w:lang w:val="en-US"/>
        </w:rPr>
        <w:t>F</w:t>
      </w:r>
      <w:r w:rsidRPr="00213A97">
        <w:rPr>
          <w:rFonts w:ascii="Times New Roman" w:hAnsi="Times New Roman"/>
          <w:sz w:val="24"/>
          <w:szCs w:val="24"/>
          <w:lang w:val="en-US"/>
        </w:rPr>
        <w:t xml:space="preserve">ramework for State </w:t>
      </w:r>
      <w:r w:rsidR="00FA3FBF">
        <w:rPr>
          <w:rFonts w:ascii="Times New Roman" w:hAnsi="Times New Roman"/>
          <w:sz w:val="24"/>
          <w:szCs w:val="24"/>
          <w:lang w:val="en-US"/>
        </w:rPr>
        <w:t>A</w:t>
      </w:r>
      <w:r w:rsidRPr="00213A97">
        <w:rPr>
          <w:rFonts w:ascii="Times New Roman" w:hAnsi="Times New Roman"/>
          <w:sz w:val="24"/>
          <w:szCs w:val="24"/>
          <w:lang w:val="en-US"/>
        </w:rPr>
        <w:t xml:space="preserve">id </w:t>
      </w:r>
      <w:r w:rsidR="00FA3FBF">
        <w:rPr>
          <w:rFonts w:ascii="Times New Roman" w:hAnsi="Times New Roman"/>
          <w:sz w:val="24"/>
          <w:szCs w:val="24"/>
          <w:lang w:val="en-US"/>
        </w:rPr>
        <w:t>M</w:t>
      </w:r>
      <w:r w:rsidRPr="00213A97">
        <w:rPr>
          <w:rFonts w:ascii="Times New Roman" w:hAnsi="Times New Roman"/>
          <w:sz w:val="24"/>
          <w:szCs w:val="24"/>
          <w:lang w:val="en-US"/>
        </w:rPr>
        <w:t xml:space="preserve">easures to </w:t>
      </w:r>
      <w:r w:rsidR="00FA3FBF">
        <w:rPr>
          <w:rFonts w:ascii="Times New Roman" w:hAnsi="Times New Roman"/>
          <w:sz w:val="24"/>
          <w:szCs w:val="24"/>
          <w:lang w:val="en-US"/>
        </w:rPr>
        <w:t>S</w:t>
      </w:r>
      <w:r w:rsidRPr="00213A97">
        <w:rPr>
          <w:rFonts w:ascii="Times New Roman" w:hAnsi="Times New Roman"/>
          <w:sz w:val="24"/>
          <w:szCs w:val="24"/>
          <w:lang w:val="en-US"/>
        </w:rPr>
        <w:t xml:space="preserve">upport the </w:t>
      </w:r>
      <w:r w:rsidR="00FA3FBF">
        <w:rPr>
          <w:rFonts w:ascii="Times New Roman" w:hAnsi="Times New Roman"/>
          <w:sz w:val="24"/>
          <w:szCs w:val="24"/>
          <w:lang w:val="en-US"/>
        </w:rPr>
        <w:t>E</w:t>
      </w:r>
      <w:r w:rsidRPr="00213A97">
        <w:rPr>
          <w:rFonts w:ascii="Times New Roman" w:hAnsi="Times New Roman"/>
          <w:sz w:val="24"/>
          <w:szCs w:val="24"/>
          <w:lang w:val="en-US"/>
        </w:rPr>
        <w:t xml:space="preserve">conomy in the </w:t>
      </w:r>
      <w:r w:rsidR="00FA3FBF">
        <w:rPr>
          <w:rFonts w:ascii="Times New Roman" w:hAnsi="Times New Roman"/>
          <w:sz w:val="24"/>
          <w:szCs w:val="24"/>
          <w:lang w:val="en-US"/>
        </w:rPr>
        <w:t>C</w:t>
      </w:r>
      <w:r w:rsidRPr="00213A97">
        <w:rPr>
          <w:rFonts w:ascii="Times New Roman" w:hAnsi="Times New Roman"/>
          <w:sz w:val="24"/>
          <w:szCs w:val="24"/>
          <w:lang w:val="en-US"/>
        </w:rPr>
        <w:t xml:space="preserve">urrent COVID-19 </w:t>
      </w:r>
      <w:r w:rsidR="00FA3FBF">
        <w:rPr>
          <w:rFonts w:ascii="Times New Roman" w:hAnsi="Times New Roman"/>
          <w:sz w:val="24"/>
          <w:szCs w:val="24"/>
          <w:lang w:val="en-US"/>
        </w:rPr>
        <w:t>O</w:t>
      </w:r>
      <w:r w:rsidRPr="00213A97">
        <w:rPr>
          <w:rFonts w:ascii="Times New Roman" w:hAnsi="Times New Roman"/>
          <w:sz w:val="24"/>
          <w:szCs w:val="24"/>
          <w:lang w:val="en-US"/>
        </w:rPr>
        <w:t xml:space="preserve">utbreak (hereinafter referred to as the Communication). </w:t>
      </w:r>
    </w:p>
    <w:p w14:paraId="0635E3D2" w14:textId="26773246" w:rsidR="0081125E" w:rsidRPr="000C696D" w:rsidRDefault="004E47A2" w:rsidP="00035106">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531CBF">
        <w:rPr>
          <w:rFonts w:ascii="Times New Roman" w:hAnsi="Times New Roman"/>
          <w:sz w:val="24"/>
          <w:szCs w:val="24"/>
          <w:lang w:val="en-US"/>
        </w:rPr>
        <w:t xml:space="preserve">The Insurer shall submit to Invega an application in the prescribed form (Annex 2 to the Description) and other documents necessary to assess the Insurer's compliance with the requirements set out in the Description by e-mail </w:t>
      </w:r>
      <w:hyperlink r:id="rId13" w:history="1">
        <w:proofErr w:type="spellStart"/>
        <w:r w:rsidR="00C35618">
          <w:rPr>
            <w:rStyle w:val="Hyperlink"/>
            <w:rFonts w:ascii="Times New Roman" w:hAnsi="Times New Roman"/>
            <w:color w:val="auto"/>
            <w:sz w:val="24"/>
            <w:szCs w:val="24"/>
            <w:lang w:val="en-US"/>
          </w:rPr>
          <w:t>tci</w:t>
        </w:r>
        <w:proofErr w:type="spellEnd"/>
        <w:r w:rsidR="00EC6206" w:rsidRPr="001236FA">
          <w:rPr>
            <w:rStyle w:val="Hyperlink"/>
            <w:rFonts w:ascii="Times New Roman" w:hAnsi="Times New Roman"/>
            <w:color w:val="auto"/>
            <w:sz w:val="24"/>
            <w:szCs w:val="24"/>
            <w:lang w:val="en-US"/>
          </w:rPr>
          <w:t xml:space="preserve">@ </w:t>
        </w:r>
        <w:proofErr w:type="spellStart"/>
        <w:r w:rsidR="00EC6206" w:rsidRPr="001236FA">
          <w:rPr>
            <w:rStyle w:val="Hyperlink"/>
            <w:rFonts w:ascii="Times New Roman" w:hAnsi="Times New Roman"/>
            <w:color w:val="auto"/>
            <w:sz w:val="24"/>
            <w:szCs w:val="24"/>
            <w:lang w:val="en-US"/>
          </w:rPr>
          <w:t>invega.lt</w:t>
        </w:r>
        <w:proofErr w:type="spellEnd"/>
      </w:hyperlink>
      <w:r w:rsidRPr="00531CBF">
        <w:rPr>
          <w:rFonts w:ascii="Times New Roman" w:hAnsi="Times New Roman"/>
          <w:sz w:val="24"/>
          <w:szCs w:val="24"/>
          <w:lang w:val="en-US"/>
        </w:rPr>
        <w:t xml:space="preserve">. </w:t>
      </w:r>
    </w:p>
    <w:p w14:paraId="5C71AA68" w14:textId="22608FC3" w:rsidR="00431922" w:rsidRPr="000C696D" w:rsidRDefault="004E47A2" w:rsidP="00035106">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0C696D">
        <w:rPr>
          <w:rFonts w:ascii="Times New Roman" w:hAnsi="Times New Roman"/>
          <w:sz w:val="24"/>
          <w:szCs w:val="24"/>
          <w:lang w:val="en-US"/>
        </w:rPr>
        <w:lastRenderedPageBreak/>
        <w:t xml:space="preserve">The application must be signed with a secure qualified electronic signature in accordance with the requirements of the Regulation (EU) No 910/2014 of the European Parliament and of the Council of 23 July 2014 on </w:t>
      </w:r>
      <w:r w:rsidR="00FA3FBF">
        <w:rPr>
          <w:rFonts w:ascii="Times New Roman" w:hAnsi="Times New Roman"/>
          <w:sz w:val="24"/>
          <w:szCs w:val="24"/>
          <w:lang w:val="en-US"/>
        </w:rPr>
        <w:t>E</w:t>
      </w:r>
      <w:r w:rsidRPr="000C696D">
        <w:rPr>
          <w:rFonts w:ascii="Times New Roman" w:hAnsi="Times New Roman"/>
          <w:sz w:val="24"/>
          <w:szCs w:val="24"/>
          <w:lang w:val="en-US"/>
        </w:rPr>
        <w:t xml:space="preserve">lectronic </w:t>
      </w:r>
      <w:r w:rsidR="00FA3FBF">
        <w:rPr>
          <w:rFonts w:ascii="Times New Roman" w:hAnsi="Times New Roman"/>
          <w:sz w:val="24"/>
          <w:szCs w:val="24"/>
          <w:lang w:val="en-US"/>
        </w:rPr>
        <w:t>I</w:t>
      </w:r>
      <w:r w:rsidRPr="000C696D">
        <w:rPr>
          <w:rFonts w:ascii="Times New Roman" w:hAnsi="Times New Roman"/>
          <w:sz w:val="24"/>
          <w:szCs w:val="24"/>
          <w:lang w:val="en-US"/>
        </w:rPr>
        <w:t xml:space="preserve">dentification and </w:t>
      </w:r>
      <w:r w:rsidR="00FA3FBF">
        <w:rPr>
          <w:rFonts w:ascii="Times New Roman" w:hAnsi="Times New Roman"/>
          <w:sz w:val="24"/>
          <w:szCs w:val="24"/>
          <w:lang w:val="en-US"/>
        </w:rPr>
        <w:t>T</w:t>
      </w:r>
      <w:r w:rsidRPr="000C696D">
        <w:rPr>
          <w:rFonts w:ascii="Times New Roman" w:hAnsi="Times New Roman"/>
          <w:sz w:val="24"/>
          <w:szCs w:val="24"/>
          <w:lang w:val="en-US"/>
        </w:rPr>
        <w:t xml:space="preserve">rust </w:t>
      </w:r>
      <w:r w:rsidR="00FA3FBF">
        <w:rPr>
          <w:rFonts w:ascii="Times New Roman" w:hAnsi="Times New Roman"/>
          <w:sz w:val="24"/>
          <w:szCs w:val="24"/>
          <w:lang w:val="en-US"/>
        </w:rPr>
        <w:t>S</w:t>
      </w:r>
      <w:r w:rsidRPr="000C696D">
        <w:rPr>
          <w:rFonts w:ascii="Times New Roman" w:hAnsi="Times New Roman"/>
          <w:sz w:val="24"/>
          <w:szCs w:val="24"/>
          <w:lang w:val="en-US"/>
        </w:rPr>
        <w:t xml:space="preserve">ervices for </w:t>
      </w:r>
      <w:r w:rsidR="00FA3FBF">
        <w:rPr>
          <w:rFonts w:ascii="Times New Roman" w:hAnsi="Times New Roman"/>
          <w:sz w:val="24"/>
          <w:szCs w:val="24"/>
          <w:lang w:val="en-US"/>
        </w:rPr>
        <w:t>E</w:t>
      </w:r>
      <w:r w:rsidRPr="000C696D">
        <w:rPr>
          <w:rFonts w:ascii="Times New Roman" w:hAnsi="Times New Roman"/>
          <w:sz w:val="24"/>
          <w:szCs w:val="24"/>
          <w:lang w:val="en-US"/>
        </w:rPr>
        <w:t xml:space="preserve">lectronic </w:t>
      </w:r>
      <w:r w:rsidR="00FA3FBF">
        <w:rPr>
          <w:rFonts w:ascii="Times New Roman" w:hAnsi="Times New Roman"/>
          <w:sz w:val="24"/>
          <w:szCs w:val="24"/>
          <w:lang w:val="en-US"/>
        </w:rPr>
        <w:t>T</w:t>
      </w:r>
      <w:r w:rsidRPr="000C696D">
        <w:rPr>
          <w:rFonts w:ascii="Times New Roman" w:hAnsi="Times New Roman"/>
          <w:sz w:val="24"/>
          <w:szCs w:val="24"/>
          <w:lang w:val="en-US"/>
        </w:rPr>
        <w:t xml:space="preserve">ransactions in the </w:t>
      </w:r>
      <w:r w:rsidR="00FA3FBF">
        <w:rPr>
          <w:rFonts w:ascii="Times New Roman" w:hAnsi="Times New Roman"/>
          <w:sz w:val="24"/>
          <w:szCs w:val="24"/>
          <w:lang w:val="en-US"/>
        </w:rPr>
        <w:t>I</w:t>
      </w:r>
      <w:r w:rsidRPr="000C696D">
        <w:rPr>
          <w:rFonts w:ascii="Times New Roman" w:hAnsi="Times New Roman"/>
          <w:sz w:val="24"/>
          <w:szCs w:val="24"/>
          <w:lang w:val="en-US"/>
        </w:rPr>
        <w:t xml:space="preserve">nternal </w:t>
      </w:r>
      <w:r w:rsidR="00FA3FBF">
        <w:rPr>
          <w:rFonts w:ascii="Times New Roman" w:hAnsi="Times New Roman"/>
          <w:sz w:val="24"/>
          <w:szCs w:val="24"/>
          <w:lang w:val="en-US"/>
        </w:rPr>
        <w:t>M</w:t>
      </w:r>
      <w:r w:rsidRPr="000C696D">
        <w:rPr>
          <w:rFonts w:ascii="Times New Roman" w:hAnsi="Times New Roman"/>
          <w:sz w:val="24"/>
          <w:szCs w:val="24"/>
          <w:lang w:val="en-US"/>
        </w:rPr>
        <w:t xml:space="preserve">arket. The application, annexes and accompanying information (including any other documents that the Insurer deems necessary or relevant to provide) must be accurate and clear </w:t>
      </w:r>
      <w:r w:rsidR="00FA3FBF">
        <w:rPr>
          <w:rFonts w:ascii="Times New Roman" w:hAnsi="Times New Roman"/>
          <w:sz w:val="24"/>
          <w:szCs w:val="24"/>
          <w:lang w:val="en-US"/>
        </w:rPr>
        <w:t xml:space="preserve">so as </w:t>
      </w:r>
      <w:r w:rsidRPr="000C696D">
        <w:rPr>
          <w:rFonts w:ascii="Times New Roman" w:hAnsi="Times New Roman"/>
          <w:sz w:val="24"/>
          <w:szCs w:val="24"/>
          <w:lang w:val="en-US"/>
        </w:rPr>
        <w:t>to enable Invega to make a thorough, informed assessment of the Insurer's compliance with the established eligibility requirements. Invega may request additional information and documents when the data provided by the Insurer is not sufficient to substantiate the Insurer's compliance with the eligibility requirements set out in the Description.</w:t>
      </w:r>
    </w:p>
    <w:p w14:paraId="0FA33DB0" w14:textId="6C57E05C" w:rsidR="001B308F" w:rsidRPr="000C696D" w:rsidRDefault="004E47A2" w:rsidP="00035106">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0C696D">
        <w:rPr>
          <w:rFonts w:ascii="Times New Roman" w:hAnsi="Times New Roman"/>
          <w:sz w:val="24"/>
          <w:szCs w:val="24"/>
          <w:lang w:val="en-US"/>
        </w:rPr>
        <w:t xml:space="preserve">Applications submitted on paper or by electronic means other than those specified by Invega </w:t>
      </w:r>
      <w:r w:rsidR="00FA3FBF">
        <w:rPr>
          <w:rFonts w:ascii="Times New Roman" w:hAnsi="Times New Roman"/>
          <w:sz w:val="24"/>
          <w:szCs w:val="24"/>
          <w:lang w:val="en-US"/>
        </w:rPr>
        <w:t>shall</w:t>
      </w:r>
      <w:r w:rsidRPr="000C696D">
        <w:rPr>
          <w:rFonts w:ascii="Times New Roman" w:hAnsi="Times New Roman"/>
          <w:sz w:val="24"/>
          <w:szCs w:val="24"/>
          <w:lang w:val="en-US"/>
        </w:rPr>
        <w:t xml:space="preserve"> not be considered. </w:t>
      </w:r>
    </w:p>
    <w:p w14:paraId="04823D9E" w14:textId="40E41840" w:rsidR="00D02B9B" w:rsidRPr="00A00E29" w:rsidRDefault="004E47A2" w:rsidP="00035106">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4F0059">
        <w:rPr>
          <w:rFonts w:ascii="Times New Roman" w:hAnsi="Times New Roman"/>
          <w:bCs/>
          <w:sz w:val="24"/>
          <w:szCs w:val="24"/>
          <w:lang w:val="en-US"/>
        </w:rPr>
        <w:t xml:space="preserve">The Insurer's application and other correspondence shall be submitted in Lithuanian or English. If the relevant documents are issued in another language, a translation into Lithuanian certified by the signature of the Insurer or a person authorized by it must be submitted. A translation certified by the signature of the Insurer or a person </w:t>
      </w:r>
      <w:proofErr w:type="spellStart"/>
      <w:r w:rsidRPr="004F0059">
        <w:rPr>
          <w:rFonts w:ascii="Times New Roman" w:hAnsi="Times New Roman"/>
          <w:bCs/>
          <w:sz w:val="24"/>
          <w:szCs w:val="24"/>
          <w:lang w:val="en-US"/>
        </w:rPr>
        <w:t>authorised</w:t>
      </w:r>
      <w:proofErr w:type="spellEnd"/>
      <w:r w:rsidRPr="004F0059">
        <w:rPr>
          <w:rFonts w:ascii="Times New Roman" w:hAnsi="Times New Roman"/>
          <w:bCs/>
          <w:sz w:val="24"/>
          <w:szCs w:val="24"/>
          <w:lang w:val="en-US"/>
        </w:rPr>
        <w:t xml:space="preserve"> by it shall be considered valid.</w:t>
      </w:r>
    </w:p>
    <w:p w14:paraId="13827E1D" w14:textId="0D2D906E" w:rsidR="004D1A78" w:rsidRPr="000C696D" w:rsidRDefault="004E47A2" w:rsidP="00035106">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0C696D">
        <w:rPr>
          <w:rFonts w:ascii="Times New Roman" w:hAnsi="Times New Roman"/>
          <w:sz w:val="24"/>
          <w:szCs w:val="24"/>
          <w:lang w:val="en-US"/>
        </w:rPr>
        <w:t xml:space="preserve">To </w:t>
      </w:r>
      <w:r w:rsidR="00F97E0B">
        <w:rPr>
          <w:rFonts w:ascii="Times New Roman" w:hAnsi="Times New Roman"/>
          <w:sz w:val="24"/>
          <w:szCs w:val="24"/>
          <w:lang w:val="en-US"/>
        </w:rPr>
        <w:t xml:space="preserve">prove </w:t>
      </w:r>
      <w:r w:rsidRPr="000C696D">
        <w:rPr>
          <w:rFonts w:ascii="Times New Roman" w:hAnsi="Times New Roman"/>
          <w:sz w:val="24"/>
          <w:szCs w:val="24"/>
          <w:lang w:val="en-US"/>
        </w:rPr>
        <w:t>the compliance with the requirements set out in the Description, supporting documents or information must be provided if the relevant supporting information is not publicly available or accessible (e</w:t>
      </w:r>
      <w:r w:rsidR="003F2A4B">
        <w:rPr>
          <w:rFonts w:ascii="Times New Roman" w:hAnsi="Times New Roman"/>
          <w:sz w:val="24"/>
          <w:szCs w:val="24"/>
          <w:lang w:val="en-US"/>
        </w:rPr>
        <w:t xml:space="preserve">. </w:t>
      </w:r>
      <w:r w:rsidRPr="000C696D">
        <w:rPr>
          <w:rFonts w:ascii="Times New Roman" w:hAnsi="Times New Roman"/>
          <w:sz w:val="24"/>
          <w:szCs w:val="24"/>
          <w:lang w:val="en-US"/>
        </w:rPr>
        <w:t xml:space="preserve">g. on the website of the Insurer or the Bank of Lithuania). </w:t>
      </w:r>
    </w:p>
    <w:p w14:paraId="102CDC5B" w14:textId="77777777" w:rsidR="00786928" w:rsidRPr="000C696D" w:rsidRDefault="004E47A2" w:rsidP="00035106">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0C696D">
        <w:rPr>
          <w:rFonts w:ascii="Times New Roman" w:hAnsi="Times New Roman"/>
          <w:sz w:val="24"/>
          <w:szCs w:val="24"/>
          <w:lang w:val="en-US"/>
        </w:rPr>
        <w:t xml:space="preserve">One Insurer may submit only one application for the conclusion of the Contract. </w:t>
      </w:r>
    </w:p>
    <w:p w14:paraId="240E3CEB" w14:textId="35BF1C98" w:rsidR="00EF2CE3" w:rsidRDefault="004E47A2" w:rsidP="00EF2CE3">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Pr>
          <w:rFonts w:ascii="Times New Roman" w:hAnsi="Times New Roman"/>
          <w:bCs/>
          <w:sz w:val="24"/>
          <w:szCs w:val="24"/>
          <w:lang w:val="en-US"/>
        </w:rPr>
        <w:t xml:space="preserve">In </w:t>
      </w:r>
      <w:r w:rsidR="00F97E0B">
        <w:rPr>
          <w:rFonts w:ascii="Times New Roman" w:hAnsi="Times New Roman"/>
          <w:bCs/>
          <w:sz w:val="24"/>
          <w:szCs w:val="24"/>
          <w:lang w:val="en-US"/>
        </w:rPr>
        <w:t>its</w:t>
      </w:r>
      <w:r>
        <w:rPr>
          <w:rFonts w:ascii="Times New Roman" w:hAnsi="Times New Roman"/>
          <w:bCs/>
          <w:sz w:val="24"/>
          <w:szCs w:val="24"/>
          <w:lang w:val="en-US"/>
        </w:rPr>
        <w:t xml:space="preserve"> application, the Insurer must indicate which information provided therein is confidential. Invega, Invega's Evaluation Committee (hereinafter referred to as the Committee), its members or experts and other persons may not disclose the information provided by the Insurer, which the Insurer has indicated as confidential, except when such information is considered non-confidential in accordance with the legislation of the Republic of Lithuania. </w:t>
      </w:r>
    </w:p>
    <w:p w14:paraId="5143BD24" w14:textId="642278F7" w:rsidR="00EF2CE3" w:rsidRPr="001236FA" w:rsidRDefault="004E47A2" w:rsidP="003B1572">
      <w:pPr>
        <w:pStyle w:val="ListParagraph"/>
        <w:numPr>
          <w:ilvl w:val="1"/>
          <w:numId w:val="8"/>
        </w:numPr>
        <w:tabs>
          <w:tab w:val="left" w:pos="851"/>
        </w:tabs>
        <w:autoSpaceDE w:val="0"/>
        <w:autoSpaceDN w:val="0"/>
        <w:adjustRightInd w:val="0"/>
        <w:spacing w:after="0" w:line="240" w:lineRule="auto"/>
        <w:ind w:left="0" w:firstLine="284"/>
        <w:jc w:val="both"/>
        <w:rPr>
          <w:rFonts w:ascii="Times New Roman" w:eastAsia="Times New Roman" w:hAnsi="Times New Roman"/>
          <w:sz w:val="24"/>
          <w:szCs w:val="24"/>
          <w:lang w:eastAsia="lt-LT"/>
        </w:rPr>
      </w:pPr>
      <w:r w:rsidRPr="00EF2CE3">
        <w:rPr>
          <w:rFonts w:ascii="Times New Roman" w:hAnsi="Times New Roman"/>
          <w:sz w:val="24"/>
          <w:szCs w:val="24"/>
          <w:lang w:val="en-US"/>
        </w:rPr>
        <w:t xml:space="preserve">The application may be submitted by entities performing insurance activities in the Republic of Lithuania specified in Paragraph 1 of Article 3 of the Law on Insurance of the Republic of Lithuania (hereinafter referred to as the Law). </w:t>
      </w:r>
    </w:p>
    <w:p w14:paraId="2EBBE9A4" w14:textId="2B92E662" w:rsidR="0036573E" w:rsidRDefault="004E47A2" w:rsidP="00DA4480">
      <w:pPr>
        <w:pStyle w:val="ListParagraph"/>
        <w:numPr>
          <w:ilvl w:val="1"/>
          <w:numId w:val="8"/>
        </w:numPr>
        <w:tabs>
          <w:tab w:val="left" w:pos="142"/>
        </w:tabs>
        <w:autoSpaceDE w:val="0"/>
        <w:autoSpaceDN w:val="0"/>
        <w:adjustRightInd w:val="0"/>
        <w:spacing w:after="0" w:line="240" w:lineRule="auto"/>
        <w:ind w:left="0" w:firstLine="284"/>
        <w:jc w:val="both"/>
        <w:rPr>
          <w:rFonts w:ascii="Times New Roman" w:hAnsi="Times New Roman"/>
          <w:sz w:val="24"/>
          <w:szCs w:val="24"/>
        </w:rPr>
      </w:pPr>
      <w:r w:rsidRPr="000D16D4">
        <w:rPr>
          <w:rFonts w:ascii="Times New Roman" w:hAnsi="Times New Roman"/>
          <w:sz w:val="24"/>
          <w:szCs w:val="24"/>
          <w:lang w:val="en-US"/>
        </w:rPr>
        <w:t>The Insurer shall undertake to submit all the documents, the possession of and compliance of which with the requirements of legal acts is requested to be confirmed upon submission of the application, to Invega or other audit institutions in accordance with the procedure provided for in the Contract at any time.</w:t>
      </w:r>
    </w:p>
    <w:p w14:paraId="79FF1111" w14:textId="77777777" w:rsidR="00773CA5" w:rsidRPr="00786928" w:rsidRDefault="00773CA5" w:rsidP="00F26981">
      <w:pPr>
        <w:tabs>
          <w:tab w:val="left" w:pos="360"/>
        </w:tabs>
        <w:autoSpaceDE w:val="0"/>
        <w:autoSpaceDN w:val="0"/>
        <w:adjustRightInd w:val="0"/>
        <w:spacing w:after="0" w:line="240" w:lineRule="auto"/>
        <w:ind w:firstLine="360"/>
        <w:jc w:val="both"/>
        <w:rPr>
          <w:rFonts w:ascii="Times New Roman" w:hAnsi="Times New Roman"/>
          <w:sz w:val="24"/>
          <w:szCs w:val="24"/>
        </w:rPr>
      </w:pPr>
    </w:p>
    <w:p w14:paraId="493EA6DF" w14:textId="77777777" w:rsidR="0081125E" w:rsidRPr="001B7D40" w:rsidRDefault="004E47A2" w:rsidP="003D395D">
      <w:pPr>
        <w:pStyle w:val="ListParagraph"/>
        <w:numPr>
          <w:ilvl w:val="0"/>
          <w:numId w:val="1"/>
        </w:numPr>
        <w:tabs>
          <w:tab w:val="left" w:pos="142"/>
          <w:tab w:val="left" w:pos="284"/>
        </w:tabs>
        <w:autoSpaceDE w:val="0"/>
        <w:autoSpaceDN w:val="0"/>
        <w:adjustRightInd w:val="0"/>
        <w:spacing w:after="0" w:line="240" w:lineRule="auto"/>
        <w:ind w:left="0" w:firstLine="0"/>
        <w:jc w:val="center"/>
        <w:rPr>
          <w:rFonts w:ascii="Times New Roman" w:hAnsi="Times New Roman"/>
          <w:b/>
          <w:bCs/>
          <w:sz w:val="24"/>
          <w:szCs w:val="24"/>
        </w:rPr>
      </w:pPr>
      <w:r w:rsidRPr="001B7D40">
        <w:rPr>
          <w:rFonts w:ascii="Times New Roman" w:hAnsi="Times New Roman"/>
          <w:b/>
          <w:bCs/>
          <w:sz w:val="24"/>
          <w:szCs w:val="24"/>
          <w:lang w:val="en-US"/>
        </w:rPr>
        <w:t>EVALUATION OF APPLICATIONS</w:t>
      </w:r>
    </w:p>
    <w:p w14:paraId="03948FDC" w14:textId="77777777" w:rsidR="00C03AB7" w:rsidRDefault="00C03AB7" w:rsidP="003D395D">
      <w:pPr>
        <w:tabs>
          <w:tab w:val="left" w:pos="851"/>
        </w:tabs>
        <w:autoSpaceDE w:val="0"/>
        <w:autoSpaceDN w:val="0"/>
        <w:adjustRightInd w:val="0"/>
        <w:spacing w:after="0" w:line="240" w:lineRule="auto"/>
        <w:ind w:firstLine="360"/>
        <w:jc w:val="both"/>
        <w:rPr>
          <w:rFonts w:ascii="Times New Roman" w:hAnsi="Times New Roman"/>
          <w:sz w:val="24"/>
          <w:szCs w:val="24"/>
        </w:rPr>
      </w:pPr>
    </w:p>
    <w:p w14:paraId="755F8C0A" w14:textId="276413A3" w:rsidR="0013426E" w:rsidRPr="00EB7004" w:rsidRDefault="004E47A2" w:rsidP="00035106">
      <w:pPr>
        <w:pStyle w:val="ListParagraph"/>
        <w:numPr>
          <w:ilvl w:val="1"/>
          <w:numId w:val="4"/>
        </w:numPr>
        <w:tabs>
          <w:tab w:val="left" w:pos="851"/>
        </w:tabs>
        <w:autoSpaceDE w:val="0"/>
        <w:autoSpaceDN w:val="0"/>
        <w:adjustRightInd w:val="0"/>
        <w:spacing w:after="0" w:line="240" w:lineRule="auto"/>
        <w:ind w:left="0" w:firstLine="360"/>
        <w:jc w:val="both"/>
        <w:rPr>
          <w:rFonts w:ascii="Times New Roman" w:hAnsi="Times New Roman"/>
          <w:sz w:val="24"/>
          <w:szCs w:val="24"/>
        </w:rPr>
      </w:pPr>
      <w:r>
        <w:rPr>
          <w:rFonts w:ascii="Times New Roman" w:hAnsi="Times New Roman"/>
          <w:sz w:val="24"/>
          <w:szCs w:val="24"/>
          <w:lang w:val="en-US"/>
        </w:rPr>
        <w:t xml:space="preserve">Application submitted by Insurers shall be </w:t>
      </w:r>
      <w:r w:rsidR="008A41EC">
        <w:rPr>
          <w:rFonts w:ascii="Times New Roman" w:hAnsi="Times New Roman"/>
          <w:sz w:val="24"/>
          <w:szCs w:val="24"/>
          <w:lang w:val="en-US"/>
        </w:rPr>
        <w:t>evaluated</w:t>
      </w:r>
      <w:r>
        <w:rPr>
          <w:rFonts w:ascii="Times New Roman" w:hAnsi="Times New Roman"/>
          <w:sz w:val="24"/>
          <w:szCs w:val="24"/>
          <w:lang w:val="en-US"/>
        </w:rPr>
        <w:t xml:space="preserve"> in accordance with the principles of equality, non-discrimination, transparency, mutual recognition and proportionality, and in line with the requirements of confidentiality and impartiality. </w:t>
      </w:r>
    </w:p>
    <w:p w14:paraId="6D8C4069" w14:textId="77777777" w:rsidR="004F4430" w:rsidRDefault="004E47A2" w:rsidP="00035106">
      <w:pPr>
        <w:pStyle w:val="ListParagraph"/>
        <w:numPr>
          <w:ilvl w:val="1"/>
          <w:numId w:val="4"/>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EB7004">
        <w:rPr>
          <w:rFonts w:ascii="Times New Roman" w:hAnsi="Times New Roman"/>
          <w:sz w:val="24"/>
          <w:szCs w:val="24"/>
          <w:lang w:val="en-US"/>
        </w:rPr>
        <w:t>The application must be evaluated within 10 working days from the date of receipt of the application and all duly completed documents required for the evaluation</w:t>
      </w:r>
      <w:bookmarkStart w:id="2" w:name="_Hlk36239824"/>
      <w:r w:rsidRPr="00EB7004">
        <w:rPr>
          <w:rFonts w:ascii="Times New Roman" w:hAnsi="Times New Roman"/>
          <w:sz w:val="24"/>
          <w:szCs w:val="24"/>
          <w:lang w:val="en-US"/>
        </w:rPr>
        <w:t xml:space="preserve"> by</w:t>
      </w:r>
      <w:bookmarkEnd w:id="2"/>
      <w:r w:rsidRPr="00EB7004">
        <w:rPr>
          <w:rFonts w:ascii="Times New Roman" w:hAnsi="Times New Roman"/>
          <w:sz w:val="24"/>
          <w:szCs w:val="24"/>
          <w:lang w:val="en-US"/>
        </w:rPr>
        <w:t xml:space="preserve"> Invega.</w:t>
      </w:r>
    </w:p>
    <w:p w14:paraId="388FE1D3" w14:textId="2A74870D" w:rsidR="00937BAD" w:rsidRPr="00531CBF" w:rsidRDefault="008A41EC" w:rsidP="00035106">
      <w:pPr>
        <w:pStyle w:val="ListParagraph"/>
        <w:numPr>
          <w:ilvl w:val="1"/>
          <w:numId w:val="4"/>
        </w:numPr>
        <w:tabs>
          <w:tab w:val="left" w:pos="851"/>
        </w:tabs>
        <w:autoSpaceDE w:val="0"/>
        <w:autoSpaceDN w:val="0"/>
        <w:adjustRightInd w:val="0"/>
        <w:spacing w:after="0" w:line="240" w:lineRule="auto"/>
        <w:ind w:left="-142" w:firstLine="568"/>
        <w:jc w:val="both"/>
        <w:rPr>
          <w:rFonts w:ascii="Times New Roman" w:hAnsi="Times New Roman"/>
          <w:sz w:val="24"/>
          <w:szCs w:val="24"/>
        </w:rPr>
      </w:pPr>
      <w:r>
        <w:rPr>
          <w:rFonts w:ascii="Times New Roman" w:hAnsi="Times New Roman"/>
          <w:sz w:val="24"/>
          <w:szCs w:val="24"/>
          <w:lang w:val="en-US"/>
        </w:rPr>
        <w:t>An</w:t>
      </w:r>
      <w:r w:rsidR="004E47A2" w:rsidRPr="00531CBF">
        <w:rPr>
          <w:rFonts w:ascii="Times New Roman" w:hAnsi="Times New Roman"/>
          <w:sz w:val="24"/>
          <w:szCs w:val="24"/>
          <w:lang w:val="en-US"/>
        </w:rPr>
        <w:t xml:space="preserve"> Insurer meeting the eligibility requirements shall be informed in writing</w:t>
      </w:r>
      <w:bookmarkStart w:id="3" w:name="_Hlk36718661"/>
      <w:r>
        <w:rPr>
          <w:rFonts w:ascii="Times New Roman" w:hAnsi="Times New Roman"/>
          <w:sz w:val="24"/>
          <w:szCs w:val="24"/>
          <w:lang w:val="en-US"/>
        </w:rPr>
        <w:t xml:space="preserve"> </w:t>
      </w:r>
      <w:r w:rsidR="004E47A2" w:rsidRPr="00531CBF">
        <w:rPr>
          <w:rFonts w:ascii="Times New Roman" w:hAnsi="Times New Roman"/>
          <w:sz w:val="24"/>
          <w:szCs w:val="24"/>
          <w:lang w:val="en-US"/>
        </w:rPr>
        <w:t>to the e-mail address specified in the application</w:t>
      </w:r>
      <w:bookmarkEnd w:id="3"/>
      <w:r w:rsidR="004E47A2" w:rsidRPr="00531CBF">
        <w:rPr>
          <w:rFonts w:ascii="Times New Roman" w:hAnsi="Times New Roman"/>
          <w:sz w:val="24"/>
          <w:szCs w:val="24"/>
          <w:lang w:val="en-US"/>
        </w:rPr>
        <w:t xml:space="preserve"> about the decision to sign the Contract and the amount of funds of the TCIPG </w:t>
      </w:r>
      <w:r w:rsidR="003F2A4B">
        <w:rPr>
          <w:rFonts w:ascii="Times New Roman" w:hAnsi="Times New Roman"/>
          <w:sz w:val="24"/>
          <w:szCs w:val="24"/>
          <w:lang w:val="en-US"/>
        </w:rPr>
        <w:t>instrument</w:t>
      </w:r>
      <w:r w:rsidR="004E47A2" w:rsidRPr="00531CBF">
        <w:rPr>
          <w:rFonts w:ascii="Times New Roman" w:hAnsi="Times New Roman"/>
          <w:sz w:val="24"/>
          <w:szCs w:val="24"/>
          <w:lang w:val="en-US"/>
        </w:rPr>
        <w:t xml:space="preserve"> allocated to it.</w:t>
      </w:r>
    </w:p>
    <w:p w14:paraId="02D721DD" w14:textId="71AEB6E2" w:rsidR="004A3DE3" w:rsidRPr="00531CBF" w:rsidRDefault="004E47A2" w:rsidP="00035106">
      <w:pPr>
        <w:pStyle w:val="ListParagraph"/>
        <w:numPr>
          <w:ilvl w:val="1"/>
          <w:numId w:val="4"/>
        </w:numPr>
        <w:tabs>
          <w:tab w:val="left" w:pos="851"/>
        </w:tabs>
        <w:autoSpaceDE w:val="0"/>
        <w:autoSpaceDN w:val="0"/>
        <w:adjustRightInd w:val="0"/>
        <w:spacing w:after="0" w:line="240" w:lineRule="auto"/>
        <w:ind w:left="-142" w:firstLine="568"/>
        <w:jc w:val="both"/>
        <w:rPr>
          <w:rFonts w:ascii="Times New Roman" w:hAnsi="Times New Roman"/>
          <w:sz w:val="24"/>
          <w:szCs w:val="24"/>
        </w:rPr>
      </w:pPr>
      <w:r w:rsidRPr="45FB73F3">
        <w:rPr>
          <w:rFonts w:ascii="Times New Roman" w:hAnsi="Times New Roman"/>
          <w:sz w:val="24"/>
          <w:szCs w:val="24"/>
          <w:lang w:val="en-US"/>
        </w:rPr>
        <w:t xml:space="preserve">An Insurer </w:t>
      </w:r>
      <w:r w:rsidR="008D528B">
        <w:rPr>
          <w:rFonts w:ascii="Times New Roman" w:hAnsi="Times New Roman"/>
          <w:sz w:val="24"/>
          <w:szCs w:val="24"/>
          <w:lang w:val="en-US"/>
        </w:rPr>
        <w:t>which</w:t>
      </w:r>
      <w:r w:rsidRPr="45FB73F3">
        <w:rPr>
          <w:rFonts w:ascii="Times New Roman" w:hAnsi="Times New Roman"/>
          <w:sz w:val="24"/>
          <w:szCs w:val="24"/>
          <w:lang w:val="en-US"/>
        </w:rPr>
        <w:t xml:space="preserve"> does not meet the eligibility requirements and fails to submit additional documents on compliance with the established eligibility requirements to Invega within 10 working days after Invega's request to substantiate the compliance with the requirements, shall be informed in writing, </w:t>
      </w:r>
      <w:r w:rsidR="008A41EC">
        <w:rPr>
          <w:rFonts w:ascii="Times New Roman" w:hAnsi="Times New Roman"/>
          <w:sz w:val="24"/>
          <w:szCs w:val="24"/>
          <w:lang w:val="en-US"/>
        </w:rPr>
        <w:t>to</w:t>
      </w:r>
      <w:r w:rsidRPr="45FB73F3">
        <w:rPr>
          <w:rFonts w:ascii="Times New Roman" w:hAnsi="Times New Roman"/>
          <w:sz w:val="24"/>
          <w:szCs w:val="24"/>
          <w:lang w:val="en-US"/>
        </w:rPr>
        <w:t xml:space="preserve"> the e-mail address specified in the application, about the rejection of the application.  </w:t>
      </w:r>
    </w:p>
    <w:p w14:paraId="123AD655" w14:textId="64D2FD10" w:rsidR="00B52574" w:rsidRPr="00531CBF" w:rsidRDefault="008A41EC" w:rsidP="00035106">
      <w:pPr>
        <w:pStyle w:val="ListParagraph"/>
        <w:numPr>
          <w:ilvl w:val="1"/>
          <w:numId w:val="4"/>
        </w:numPr>
        <w:tabs>
          <w:tab w:val="left" w:pos="851"/>
        </w:tabs>
        <w:autoSpaceDE w:val="0"/>
        <w:autoSpaceDN w:val="0"/>
        <w:adjustRightInd w:val="0"/>
        <w:spacing w:after="0" w:line="240" w:lineRule="auto"/>
        <w:ind w:left="-142" w:firstLine="568"/>
        <w:jc w:val="both"/>
        <w:rPr>
          <w:rFonts w:ascii="Times New Roman" w:hAnsi="Times New Roman"/>
          <w:sz w:val="24"/>
          <w:szCs w:val="24"/>
        </w:rPr>
      </w:pPr>
      <w:proofErr w:type="spellStart"/>
      <w:r>
        <w:rPr>
          <w:rFonts w:ascii="Times New Roman" w:hAnsi="Times New Roman"/>
          <w:sz w:val="24"/>
          <w:szCs w:val="24"/>
        </w:rPr>
        <w:t>If</w:t>
      </w:r>
      <w:proofErr w:type="spellEnd"/>
      <w:r w:rsidR="004E47A2" w:rsidRPr="00531CBF">
        <w:rPr>
          <w:rFonts w:ascii="Times New Roman" w:hAnsi="Times New Roman"/>
          <w:sz w:val="24"/>
          <w:szCs w:val="24"/>
          <w:lang w:val="en-US"/>
        </w:rPr>
        <w:t xml:space="preserve"> false information is provided, which Invega may prove by any lawful means, the Insurer's application shall be rejected, stating the reasons for the rejection.</w:t>
      </w:r>
    </w:p>
    <w:p w14:paraId="763D3373" w14:textId="5DDE0D8A" w:rsidR="0053271E" w:rsidRPr="00364EBB" w:rsidRDefault="004E47A2" w:rsidP="00035106">
      <w:pPr>
        <w:pStyle w:val="ListParagraph"/>
        <w:numPr>
          <w:ilvl w:val="1"/>
          <w:numId w:val="4"/>
        </w:numPr>
        <w:tabs>
          <w:tab w:val="left" w:pos="993"/>
        </w:tabs>
        <w:ind w:left="-142" w:firstLine="568"/>
        <w:jc w:val="both"/>
        <w:rPr>
          <w:rFonts w:ascii="Times New Roman" w:hAnsi="Times New Roman"/>
          <w:sz w:val="24"/>
          <w:szCs w:val="24"/>
        </w:rPr>
      </w:pPr>
      <w:r>
        <w:rPr>
          <w:rFonts w:ascii="Times New Roman" w:hAnsi="Times New Roman"/>
          <w:sz w:val="24"/>
          <w:szCs w:val="24"/>
          <w:lang w:val="en-US"/>
        </w:rPr>
        <w:lastRenderedPageBreak/>
        <w:t xml:space="preserve">After </w:t>
      </w:r>
      <w:r w:rsidR="008A41EC">
        <w:rPr>
          <w:rFonts w:ascii="Times New Roman" w:hAnsi="Times New Roman"/>
          <w:sz w:val="24"/>
          <w:szCs w:val="24"/>
          <w:lang w:val="en-US"/>
        </w:rPr>
        <w:t>the evaluation of</w:t>
      </w:r>
      <w:r>
        <w:rPr>
          <w:rFonts w:ascii="Times New Roman" w:hAnsi="Times New Roman"/>
          <w:sz w:val="24"/>
          <w:szCs w:val="24"/>
          <w:lang w:val="en-US"/>
        </w:rPr>
        <w:t xml:space="preserve"> all the Applications received, the funds allocated for the TCIPG </w:t>
      </w:r>
      <w:r w:rsidR="003F2A4B">
        <w:rPr>
          <w:rFonts w:ascii="Times New Roman" w:hAnsi="Times New Roman"/>
          <w:sz w:val="24"/>
          <w:szCs w:val="24"/>
          <w:lang w:val="en-US"/>
        </w:rPr>
        <w:t>instrument</w:t>
      </w:r>
      <w:r>
        <w:rPr>
          <w:rFonts w:ascii="Times New Roman" w:hAnsi="Times New Roman"/>
          <w:sz w:val="24"/>
          <w:szCs w:val="24"/>
          <w:lang w:val="en-US"/>
        </w:rPr>
        <w:t xml:space="preserve"> shall be distributed to the eligible Insurers as provided in Part 6 of the Description. </w:t>
      </w:r>
    </w:p>
    <w:p w14:paraId="24EBB8F1" w14:textId="7FDB95C3" w:rsidR="00786928" w:rsidRPr="00EB7004" w:rsidRDefault="004E47A2" w:rsidP="00035106">
      <w:pPr>
        <w:pStyle w:val="ListParagraph"/>
        <w:numPr>
          <w:ilvl w:val="1"/>
          <w:numId w:val="4"/>
        </w:numPr>
        <w:tabs>
          <w:tab w:val="left" w:pos="851"/>
          <w:tab w:val="left" w:pos="993"/>
        </w:tabs>
        <w:autoSpaceDE w:val="0"/>
        <w:autoSpaceDN w:val="0"/>
        <w:adjustRightInd w:val="0"/>
        <w:spacing w:after="0" w:line="240" w:lineRule="auto"/>
        <w:ind w:left="-142" w:firstLine="568"/>
        <w:jc w:val="both"/>
        <w:rPr>
          <w:rFonts w:ascii="Times New Roman" w:hAnsi="Times New Roman"/>
          <w:sz w:val="24"/>
          <w:szCs w:val="24"/>
        </w:rPr>
      </w:pPr>
      <w:r w:rsidRPr="00EB7004">
        <w:rPr>
          <w:rFonts w:ascii="Times New Roman" w:hAnsi="Times New Roman"/>
          <w:sz w:val="24"/>
          <w:szCs w:val="24"/>
          <w:lang w:val="en-US"/>
        </w:rPr>
        <w:t xml:space="preserve">Claims against the decisions made </w:t>
      </w:r>
      <w:r w:rsidR="008A41EC">
        <w:rPr>
          <w:rFonts w:ascii="Times New Roman" w:hAnsi="Times New Roman"/>
          <w:sz w:val="24"/>
          <w:szCs w:val="24"/>
          <w:lang w:val="en-US"/>
        </w:rPr>
        <w:t>shall be</w:t>
      </w:r>
      <w:r w:rsidRPr="00EB7004">
        <w:rPr>
          <w:rFonts w:ascii="Times New Roman" w:hAnsi="Times New Roman"/>
          <w:sz w:val="24"/>
          <w:szCs w:val="24"/>
          <w:lang w:val="en-US"/>
        </w:rPr>
        <w:t xml:space="preserve"> submitted to Invega, </w:t>
      </w:r>
      <w:r w:rsidR="008D528B">
        <w:rPr>
          <w:rFonts w:ascii="Times New Roman" w:hAnsi="Times New Roman"/>
          <w:sz w:val="24"/>
          <w:szCs w:val="24"/>
          <w:lang w:val="en-US"/>
        </w:rPr>
        <w:t>which</w:t>
      </w:r>
      <w:r w:rsidRPr="00EB7004">
        <w:rPr>
          <w:rFonts w:ascii="Times New Roman" w:hAnsi="Times New Roman"/>
          <w:sz w:val="24"/>
          <w:szCs w:val="24"/>
          <w:lang w:val="en-US"/>
        </w:rPr>
        <w:t xml:space="preserve"> </w:t>
      </w:r>
      <w:r w:rsidR="008A41EC">
        <w:rPr>
          <w:rFonts w:ascii="Times New Roman" w:hAnsi="Times New Roman"/>
          <w:sz w:val="24"/>
          <w:szCs w:val="24"/>
          <w:lang w:val="en-US"/>
        </w:rPr>
        <w:t>shall</w:t>
      </w:r>
      <w:r w:rsidRPr="00EB7004">
        <w:rPr>
          <w:rFonts w:ascii="Times New Roman" w:hAnsi="Times New Roman"/>
          <w:sz w:val="24"/>
          <w:szCs w:val="24"/>
          <w:lang w:val="en-US"/>
        </w:rPr>
        <w:t xml:space="preserve"> examine the claim</w:t>
      </w:r>
      <w:r w:rsidR="008A41EC">
        <w:rPr>
          <w:rFonts w:ascii="Times New Roman" w:hAnsi="Times New Roman"/>
          <w:sz w:val="24"/>
          <w:szCs w:val="24"/>
          <w:lang w:val="en-US"/>
        </w:rPr>
        <w:t>s</w:t>
      </w:r>
      <w:r w:rsidRPr="00EB7004">
        <w:rPr>
          <w:rFonts w:ascii="Times New Roman" w:hAnsi="Times New Roman"/>
          <w:sz w:val="24"/>
          <w:szCs w:val="24"/>
          <w:lang w:val="en-US"/>
        </w:rPr>
        <w:t xml:space="preserve"> within 20 working days at the latest. Invega's actions or decisions may be appealed in accordance with the procedure established by the laws of the Republic of Lithuania.</w:t>
      </w:r>
    </w:p>
    <w:p w14:paraId="0222BA44" w14:textId="77777777" w:rsidR="00D82B01" w:rsidRDefault="00D82B01" w:rsidP="00EB7004">
      <w:pPr>
        <w:autoSpaceDE w:val="0"/>
        <w:autoSpaceDN w:val="0"/>
        <w:adjustRightInd w:val="0"/>
        <w:spacing w:after="0" w:line="240" w:lineRule="auto"/>
        <w:ind w:left="-142" w:firstLine="568"/>
        <w:jc w:val="both"/>
        <w:rPr>
          <w:rFonts w:ascii="Times New Roman" w:hAnsi="Times New Roman"/>
          <w:sz w:val="24"/>
          <w:szCs w:val="24"/>
        </w:rPr>
      </w:pPr>
    </w:p>
    <w:p w14:paraId="09506579" w14:textId="77777777" w:rsidR="008D23EF" w:rsidRDefault="008D23EF" w:rsidP="00EB7004">
      <w:pPr>
        <w:autoSpaceDE w:val="0"/>
        <w:autoSpaceDN w:val="0"/>
        <w:adjustRightInd w:val="0"/>
        <w:spacing w:after="0" w:line="240" w:lineRule="auto"/>
        <w:ind w:left="-142" w:firstLine="568"/>
        <w:jc w:val="both"/>
        <w:rPr>
          <w:rFonts w:ascii="Times New Roman" w:hAnsi="Times New Roman"/>
          <w:sz w:val="24"/>
          <w:szCs w:val="24"/>
        </w:rPr>
      </w:pPr>
    </w:p>
    <w:p w14:paraId="6C519139" w14:textId="77777777" w:rsidR="003A479B" w:rsidRDefault="004E47A2" w:rsidP="00BF7FC9">
      <w:pPr>
        <w:pStyle w:val="ListParagraph"/>
        <w:numPr>
          <w:ilvl w:val="0"/>
          <w:numId w:val="1"/>
        </w:numPr>
        <w:tabs>
          <w:tab w:val="left" w:pos="284"/>
        </w:tabs>
        <w:autoSpaceDE w:val="0"/>
        <w:autoSpaceDN w:val="0"/>
        <w:adjustRightInd w:val="0"/>
        <w:spacing w:after="0" w:line="240" w:lineRule="auto"/>
        <w:ind w:left="0" w:firstLine="0"/>
        <w:jc w:val="center"/>
        <w:rPr>
          <w:rFonts w:ascii="Times New Roman" w:hAnsi="Times New Roman"/>
          <w:b/>
          <w:bCs/>
          <w:sz w:val="24"/>
          <w:szCs w:val="24"/>
        </w:rPr>
      </w:pPr>
      <w:r>
        <w:rPr>
          <w:rFonts w:ascii="Times New Roman" w:hAnsi="Times New Roman"/>
          <w:b/>
          <w:bCs/>
          <w:sz w:val="24"/>
          <w:szCs w:val="24"/>
          <w:lang w:val="en-US"/>
        </w:rPr>
        <w:t xml:space="preserve">ELIGIBILITY REQUIREMENTS </w:t>
      </w:r>
    </w:p>
    <w:p w14:paraId="103D265F" w14:textId="77777777" w:rsidR="001E73A9" w:rsidRPr="005C71E8" w:rsidRDefault="001E73A9" w:rsidP="001E73A9">
      <w:pPr>
        <w:pStyle w:val="ListParagraph"/>
        <w:autoSpaceDE w:val="0"/>
        <w:autoSpaceDN w:val="0"/>
        <w:adjustRightInd w:val="0"/>
        <w:spacing w:after="0" w:line="240" w:lineRule="auto"/>
        <w:ind w:left="1211"/>
        <w:rPr>
          <w:rFonts w:ascii="Times New Roman" w:hAnsi="Times New Roman"/>
          <w:b/>
          <w:bCs/>
          <w:sz w:val="24"/>
          <w:szCs w:val="24"/>
        </w:rPr>
      </w:pPr>
    </w:p>
    <w:p w14:paraId="14F5B9A5" w14:textId="7B8F1617" w:rsidR="00FF7511" w:rsidRDefault="004E47A2" w:rsidP="00EB7004">
      <w:pPr>
        <w:tabs>
          <w:tab w:val="left" w:pos="709"/>
        </w:tabs>
        <w:autoSpaceDE w:val="0"/>
        <w:autoSpaceDN w:val="0"/>
        <w:adjustRightInd w:val="0"/>
        <w:spacing w:after="0" w:line="240" w:lineRule="auto"/>
        <w:ind w:left="-142" w:firstLine="568"/>
        <w:jc w:val="both"/>
        <w:rPr>
          <w:rFonts w:ascii="Times New Roman" w:hAnsi="Times New Roman"/>
          <w:bCs/>
          <w:sz w:val="24"/>
          <w:szCs w:val="24"/>
        </w:rPr>
        <w:sectPr w:rsidR="00FF7511" w:rsidSect="006968FD">
          <w:headerReference w:type="default" r:id="rId14"/>
          <w:footerReference w:type="default" r:id="rId15"/>
          <w:pgSz w:w="11906" w:h="16838"/>
          <w:pgMar w:top="993" w:right="709" w:bottom="851" w:left="1701" w:header="454" w:footer="567" w:gutter="0"/>
          <w:cols w:space="1296"/>
          <w:titlePg/>
          <w:docGrid w:linePitch="360"/>
        </w:sectPr>
      </w:pPr>
      <w:r>
        <w:rPr>
          <w:rFonts w:ascii="Times New Roman" w:hAnsi="Times New Roman"/>
          <w:bCs/>
          <w:sz w:val="24"/>
          <w:szCs w:val="24"/>
          <w:lang w:val="en-US"/>
        </w:rPr>
        <w:t xml:space="preserve">5.1. Insurers applying for the conclusion of the </w:t>
      </w:r>
      <w:r w:rsidR="008A41EC">
        <w:rPr>
          <w:rFonts w:ascii="Times New Roman" w:hAnsi="Times New Roman"/>
          <w:bCs/>
          <w:sz w:val="24"/>
          <w:szCs w:val="24"/>
          <w:lang w:val="en-US"/>
        </w:rPr>
        <w:t>Contract</w:t>
      </w:r>
      <w:r>
        <w:rPr>
          <w:rFonts w:ascii="Times New Roman" w:hAnsi="Times New Roman"/>
          <w:bCs/>
          <w:sz w:val="24"/>
          <w:szCs w:val="24"/>
          <w:lang w:val="en-US"/>
        </w:rPr>
        <w:t xml:space="preserve"> must meet the eligibility requirements specified in Table 1.</w:t>
      </w:r>
    </w:p>
    <w:p w14:paraId="31DFAC16" w14:textId="77777777" w:rsidR="00FD05FB" w:rsidRDefault="004E47A2" w:rsidP="00A3031C">
      <w:pPr>
        <w:tabs>
          <w:tab w:val="left" w:pos="709"/>
        </w:tabs>
        <w:autoSpaceDE w:val="0"/>
        <w:autoSpaceDN w:val="0"/>
        <w:adjustRightInd w:val="0"/>
        <w:spacing w:after="0" w:line="240" w:lineRule="auto"/>
        <w:ind w:left="-142" w:firstLine="568"/>
        <w:jc w:val="right"/>
        <w:rPr>
          <w:rFonts w:ascii="Times New Roman" w:hAnsi="Times New Roman"/>
          <w:bCs/>
          <w:sz w:val="24"/>
          <w:szCs w:val="24"/>
        </w:rPr>
      </w:pPr>
      <w:bookmarkStart w:id="4" w:name="_Hlk37330609"/>
      <w:r>
        <w:rPr>
          <w:rFonts w:ascii="Times New Roman" w:hAnsi="Times New Roman"/>
          <w:bCs/>
          <w:sz w:val="24"/>
          <w:szCs w:val="24"/>
          <w:lang w:val="en-US"/>
        </w:rPr>
        <w:lastRenderedPageBreak/>
        <w:t>Table 1</w:t>
      </w:r>
    </w:p>
    <w:p w14:paraId="6CD983DC" w14:textId="77777777" w:rsidR="00A3031C" w:rsidRPr="00C14798" w:rsidRDefault="00A3031C" w:rsidP="00A3031C">
      <w:pPr>
        <w:tabs>
          <w:tab w:val="left" w:pos="709"/>
        </w:tabs>
        <w:autoSpaceDE w:val="0"/>
        <w:autoSpaceDN w:val="0"/>
        <w:adjustRightInd w:val="0"/>
        <w:spacing w:after="0" w:line="240" w:lineRule="auto"/>
        <w:ind w:left="-142" w:firstLine="568"/>
        <w:jc w:val="right"/>
        <w:rPr>
          <w:rFonts w:ascii="Times New Roman" w:hAnsi="Times New Roman"/>
          <w:bCs/>
          <w:sz w:val="24"/>
          <w:szCs w:val="24"/>
        </w:rPr>
      </w:pPr>
    </w:p>
    <w:tbl>
      <w:tblPr>
        <w:tblStyle w:val="TableGrid2"/>
        <w:tblW w:w="15304" w:type="dxa"/>
        <w:tblLook w:val="04A0" w:firstRow="1" w:lastRow="0" w:firstColumn="1" w:lastColumn="0" w:noHBand="0" w:noVBand="1"/>
      </w:tblPr>
      <w:tblGrid>
        <w:gridCol w:w="2972"/>
        <w:gridCol w:w="3540"/>
        <w:gridCol w:w="3586"/>
        <w:gridCol w:w="5206"/>
      </w:tblGrid>
      <w:tr w:rsidR="00796B74" w14:paraId="5E8BB2EA" w14:textId="77777777" w:rsidTr="00B544B4">
        <w:tc>
          <w:tcPr>
            <w:tcW w:w="2972" w:type="dxa"/>
          </w:tcPr>
          <w:p w14:paraId="6FA46DC7" w14:textId="77777777" w:rsidR="009B7B60" w:rsidRPr="00F30EC1" w:rsidRDefault="004E47A2" w:rsidP="003929B4">
            <w:pPr>
              <w:spacing w:after="0"/>
              <w:jc w:val="both"/>
              <w:rPr>
                <w:rFonts w:ascii="Times New Roman" w:hAnsi="Times New Roman" w:cs="Times New Roman"/>
                <w:b/>
                <w:bCs/>
              </w:rPr>
            </w:pPr>
            <w:r w:rsidRPr="00F30EC1">
              <w:rPr>
                <w:rFonts w:ascii="Times New Roman" w:hAnsi="Times New Roman" w:cs="Times New Roman"/>
                <w:b/>
                <w:bCs/>
                <w:lang w:val="en-US"/>
              </w:rPr>
              <w:t>Criterion</w:t>
            </w:r>
          </w:p>
        </w:tc>
        <w:tc>
          <w:tcPr>
            <w:tcW w:w="3540" w:type="dxa"/>
          </w:tcPr>
          <w:p w14:paraId="12146A00" w14:textId="77777777" w:rsidR="009B7B60" w:rsidRPr="00E0686E" w:rsidRDefault="004E47A2" w:rsidP="003929B4">
            <w:pPr>
              <w:spacing w:after="0"/>
              <w:jc w:val="both"/>
              <w:rPr>
                <w:rFonts w:ascii="Times New Roman" w:hAnsi="Times New Roman" w:cs="Times New Roman"/>
                <w:b/>
                <w:bCs/>
              </w:rPr>
            </w:pPr>
            <w:r w:rsidRPr="00E0686E">
              <w:rPr>
                <w:rFonts w:ascii="Times New Roman" w:hAnsi="Times New Roman" w:cs="Times New Roman"/>
                <w:b/>
                <w:bCs/>
                <w:lang w:val="en-US"/>
              </w:rPr>
              <w:t>Insurer supervised by the Bank of Lithuania *</w:t>
            </w:r>
          </w:p>
        </w:tc>
        <w:tc>
          <w:tcPr>
            <w:tcW w:w="3586" w:type="dxa"/>
          </w:tcPr>
          <w:p w14:paraId="34333B79" w14:textId="77777777" w:rsidR="009B7B60" w:rsidRPr="00B03DAF" w:rsidRDefault="004E47A2" w:rsidP="003929B4">
            <w:pPr>
              <w:spacing w:after="0"/>
              <w:jc w:val="both"/>
              <w:rPr>
                <w:rFonts w:ascii="Times New Roman" w:hAnsi="Times New Roman" w:cs="Times New Roman"/>
                <w:b/>
                <w:bCs/>
                <w:lang w:val="en-US"/>
              </w:rPr>
            </w:pPr>
            <w:r w:rsidRPr="00E0686E">
              <w:rPr>
                <w:rFonts w:ascii="Times New Roman" w:hAnsi="Times New Roman" w:cs="Times New Roman"/>
                <w:b/>
                <w:bCs/>
                <w:lang w:val="en-US"/>
              </w:rPr>
              <w:t>Insurer not supervised by the Bank of Lithuania</w:t>
            </w:r>
          </w:p>
        </w:tc>
        <w:tc>
          <w:tcPr>
            <w:tcW w:w="5206" w:type="dxa"/>
          </w:tcPr>
          <w:p w14:paraId="2C7D50A6" w14:textId="77777777" w:rsidR="009B7B60" w:rsidRPr="00E0686E" w:rsidRDefault="004E47A2" w:rsidP="003929B4">
            <w:pPr>
              <w:spacing w:after="0"/>
              <w:jc w:val="both"/>
              <w:rPr>
                <w:rFonts w:ascii="Times New Roman" w:hAnsi="Times New Roman"/>
                <w:b/>
                <w:bCs/>
              </w:rPr>
            </w:pPr>
            <w:r>
              <w:rPr>
                <w:rFonts w:ascii="Times New Roman" w:hAnsi="Times New Roman"/>
                <w:b/>
                <w:bCs/>
                <w:lang w:val="en-US"/>
              </w:rPr>
              <w:t>Explanations on the documents and information to be provided</w:t>
            </w:r>
          </w:p>
        </w:tc>
      </w:tr>
      <w:tr w:rsidR="00796B74" w14:paraId="32315EE4" w14:textId="77777777" w:rsidTr="00B07A8C">
        <w:trPr>
          <w:trHeight w:val="3257"/>
        </w:trPr>
        <w:tc>
          <w:tcPr>
            <w:tcW w:w="2972" w:type="dxa"/>
          </w:tcPr>
          <w:p w14:paraId="305BA735" w14:textId="58AC3E58" w:rsidR="00F30EC1" w:rsidRPr="00F30EC1" w:rsidRDefault="00376CC2" w:rsidP="00A80338">
            <w:pPr>
              <w:spacing w:after="0"/>
              <w:rPr>
                <w:rFonts w:ascii="Times New Roman" w:hAnsi="Times New Roman" w:cs="Times New Roman"/>
                <w:b/>
                <w:bCs/>
              </w:rPr>
            </w:pPr>
            <w:proofErr w:type="spellStart"/>
            <w:r>
              <w:rPr>
                <w:rFonts w:ascii="Times New Roman" w:hAnsi="Times New Roman"/>
                <w:b/>
                <w:bCs/>
              </w:rPr>
              <w:t>The</w:t>
            </w:r>
            <w:proofErr w:type="spellEnd"/>
            <w:r w:rsidR="004E47A2">
              <w:rPr>
                <w:rFonts w:ascii="Times New Roman" w:hAnsi="Times New Roman"/>
                <w:b/>
                <w:bCs/>
                <w:lang w:val="en-US"/>
              </w:rPr>
              <w:t xml:space="preserve"> Insurer is an insurance company that has the right to conduct insurance business </w:t>
            </w:r>
          </w:p>
        </w:tc>
        <w:tc>
          <w:tcPr>
            <w:tcW w:w="3540" w:type="dxa"/>
          </w:tcPr>
          <w:p w14:paraId="472A5AD2" w14:textId="77777777" w:rsidR="00F30EC1" w:rsidRPr="001A2C4D" w:rsidRDefault="004E47A2" w:rsidP="0038367D">
            <w:pPr>
              <w:spacing w:after="0"/>
              <w:jc w:val="both"/>
              <w:rPr>
                <w:rFonts w:ascii="Times New Roman" w:hAnsi="Times New Roman" w:cs="Times New Roman"/>
              </w:rPr>
            </w:pPr>
            <w:r w:rsidRPr="001A2C4D">
              <w:rPr>
                <w:rFonts w:ascii="Times New Roman" w:hAnsi="Times New Roman" w:cs="Times New Roman"/>
                <w:lang w:val="en-US"/>
              </w:rPr>
              <w:t>The Insurer is on the list of participants in financial markets supervised by the Bank of Lithuania</w:t>
            </w:r>
          </w:p>
          <w:p w14:paraId="3EEAF777" w14:textId="77777777" w:rsidR="006328E0" w:rsidRPr="001A2C4D" w:rsidRDefault="006328E0" w:rsidP="0038367D">
            <w:pPr>
              <w:spacing w:after="0"/>
              <w:jc w:val="both"/>
              <w:rPr>
                <w:rFonts w:ascii="Times New Roman" w:hAnsi="Times New Roman" w:cs="Times New Roman"/>
              </w:rPr>
            </w:pPr>
          </w:p>
          <w:p w14:paraId="57246D84" w14:textId="77777777" w:rsidR="006328E0" w:rsidRPr="001A2C4D" w:rsidRDefault="006328E0" w:rsidP="0038367D">
            <w:pPr>
              <w:spacing w:after="0"/>
              <w:jc w:val="both"/>
              <w:rPr>
                <w:rFonts w:ascii="Times New Roman" w:hAnsi="Times New Roman" w:cs="Times New Roman"/>
              </w:rPr>
            </w:pPr>
          </w:p>
        </w:tc>
        <w:tc>
          <w:tcPr>
            <w:tcW w:w="3586" w:type="dxa"/>
          </w:tcPr>
          <w:p w14:paraId="2B8A4043" w14:textId="48538FF0" w:rsidR="00F30EC1" w:rsidRPr="001A2C4D" w:rsidRDefault="004E47A2" w:rsidP="0038367D">
            <w:pPr>
              <w:spacing w:after="0"/>
              <w:jc w:val="both"/>
              <w:rPr>
                <w:rFonts w:ascii="Times New Roman" w:hAnsi="Times New Roman" w:cs="Times New Roman"/>
              </w:rPr>
            </w:pPr>
            <w:r w:rsidRPr="001A2C4D">
              <w:rPr>
                <w:rFonts w:ascii="Times New Roman" w:hAnsi="Times New Roman" w:cs="Times New Roman"/>
                <w:lang w:val="en-US"/>
              </w:rPr>
              <w:t xml:space="preserve">The Insurer </w:t>
            </w:r>
            <w:r w:rsidR="00376CC2">
              <w:rPr>
                <w:rFonts w:ascii="Times New Roman" w:hAnsi="Times New Roman" w:cs="Times New Roman"/>
                <w:lang w:val="en-US"/>
              </w:rPr>
              <w:t xml:space="preserve">is authorized </w:t>
            </w:r>
            <w:r w:rsidRPr="001A2C4D">
              <w:rPr>
                <w:rFonts w:ascii="Times New Roman" w:hAnsi="Times New Roman" w:cs="Times New Roman"/>
                <w:lang w:val="en-US"/>
              </w:rPr>
              <w:t>to conduct insurance business in Lithuania</w:t>
            </w:r>
          </w:p>
        </w:tc>
        <w:tc>
          <w:tcPr>
            <w:tcW w:w="5206" w:type="dxa"/>
          </w:tcPr>
          <w:p w14:paraId="71D025F9" w14:textId="33C91F5A" w:rsidR="001D79AF" w:rsidRPr="001D79AF" w:rsidRDefault="00376CC2" w:rsidP="0038367D">
            <w:pPr>
              <w:spacing w:after="0"/>
              <w:jc w:val="both"/>
              <w:rPr>
                <w:rFonts w:ascii="Times New Roman" w:hAnsi="Times New Roman" w:cs="Times New Roman"/>
              </w:rPr>
            </w:pPr>
            <w:proofErr w:type="spellStart"/>
            <w:r>
              <w:rPr>
                <w:rFonts w:ascii="Times New Roman" w:hAnsi="Times New Roman" w:cs="Times New Roman"/>
              </w:rPr>
              <w:t>The</w:t>
            </w:r>
            <w:proofErr w:type="spellEnd"/>
            <w:r w:rsidR="004E47A2" w:rsidRPr="001D79AF">
              <w:rPr>
                <w:rFonts w:ascii="Times New Roman" w:hAnsi="Times New Roman" w:cs="Times New Roman"/>
                <w:lang w:val="en-US"/>
              </w:rPr>
              <w:t xml:space="preserve"> Insurer supervised by the Bank of Lithuania must submit a license issued by the Bank of Lithuania (until 31 December 2011 </w:t>
            </w:r>
            <w:r w:rsidR="00BE4374">
              <w:rPr>
                <w:rFonts w:ascii="Times New Roman" w:hAnsi="Times New Roman" w:cs="Times New Roman"/>
                <w:lang w:val="en-US"/>
              </w:rPr>
              <w:t>–</w:t>
            </w:r>
            <w:r w:rsidR="004E47A2" w:rsidRPr="001D79AF">
              <w:rPr>
                <w:rFonts w:ascii="Times New Roman" w:hAnsi="Times New Roman" w:cs="Times New Roman"/>
                <w:lang w:val="en-US"/>
              </w:rPr>
              <w:t xml:space="preserve"> by the Insurance Supervision Commission). </w:t>
            </w:r>
          </w:p>
          <w:p w14:paraId="594DC747" w14:textId="77777777" w:rsidR="001D79AF" w:rsidRDefault="001D79AF" w:rsidP="0038367D">
            <w:pPr>
              <w:spacing w:after="0"/>
              <w:jc w:val="both"/>
              <w:rPr>
                <w:rFonts w:ascii="Times New Roman" w:hAnsi="Times New Roman" w:cs="Times New Roman"/>
              </w:rPr>
            </w:pPr>
          </w:p>
          <w:p w14:paraId="17E2D885" w14:textId="1E2868CF" w:rsidR="004B7962" w:rsidRPr="001D79AF" w:rsidRDefault="00376CC2" w:rsidP="0038367D">
            <w:pPr>
              <w:spacing w:after="0"/>
              <w:jc w:val="both"/>
              <w:rPr>
                <w:rFonts w:ascii="Times New Roman" w:hAnsi="Times New Roman" w:cs="Times New Roman"/>
              </w:rPr>
            </w:pPr>
            <w:proofErr w:type="spellStart"/>
            <w:r>
              <w:rPr>
                <w:rFonts w:ascii="Times New Roman" w:hAnsi="Times New Roman" w:cs="Times New Roman"/>
              </w:rPr>
              <w:t>The</w:t>
            </w:r>
            <w:proofErr w:type="spellEnd"/>
            <w:r w:rsidR="004E47A2" w:rsidRPr="005A5E6C">
              <w:rPr>
                <w:rFonts w:ascii="Times New Roman" w:hAnsi="Times New Roman" w:cs="Times New Roman"/>
                <w:lang w:val="en-US"/>
              </w:rPr>
              <w:t xml:space="preserve"> Insurer not supervised by the Bank of Lithuania must submit an insurance activity license issued by the competent authority of a Member State of the European Union and be supervised by this authority. European Union insurance companies have the right to carry out insurance activities both with and without the establishment of a branch.</w:t>
            </w:r>
          </w:p>
          <w:p w14:paraId="7499251A" w14:textId="77777777" w:rsidR="00F30EC1" w:rsidRPr="001A2C4D" w:rsidRDefault="004E47A2" w:rsidP="0038367D">
            <w:pPr>
              <w:spacing w:after="0"/>
              <w:jc w:val="both"/>
              <w:rPr>
                <w:rFonts w:ascii="Times New Roman" w:hAnsi="Times New Roman"/>
              </w:rPr>
            </w:pPr>
            <w:r w:rsidRPr="001A2C4D">
              <w:rPr>
                <w:rFonts w:ascii="Times New Roman" w:hAnsi="Times New Roman" w:cs="Times New Roman"/>
              </w:rPr>
              <w:t xml:space="preserve"> </w:t>
            </w:r>
          </w:p>
        </w:tc>
      </w:tr>
      <w:tr w:rsidR="00796B74" w14:paraId="237F94E1" w14:textId="77777777" w:rsidTr="00B544B4">
        <w:trPr>
          <w:trHeight w:val="2597"/>
        </w:trPr>
        <w:tc>
          <w:tcPr>
            <w:tcW w:w="2972" w:type="dxa"/>
          </w:tcPr>
          <w:p w14:paraId="2B1221D4" w14:textId="5B2FFB79" w:rsidR="00720216" w:rsidRPr="00720216" w:rsidRDefault="004E47A2" w:rsidP="00720216">
            <w:pPr>
              <w:spacing w:after="0"/>
              <w:jc w:val="both"/>
              <w:rPr>
                <w:rFonts w:ascii="Times New Roman" w:hAnsi="Times New Roman" w:cs="Times New Roman"/>
                <w:b/>
                <w:bCs/>
              </w:rPr>
            </w:pPr>
            <w:r w:rsidRPr="002B0EC0">
              <w:rPr>
                <w:rFonts w:ascii="Times New Roman" w:hAnsi="Times New Roman"/>
                <w:b/>
                <w:bCs/>
                <w:lang w:val="en-US"/>
              </w:rPr>
              <w:t xml:space="preserve">The Insurer must prove that on 31 December 2019 </w:t>
            </w:r>
            <w:r w:rsidR="00376CC2">
              <w:rPr>
                <w:rFonts w:ascii="Times New Roman" w:hAnsi="Times New Roman"/>
                <w:b/>
                <w:bCs/>
                <w:lang w:val="en-US"/>
              </w:rPr>
              <w:t>they</w:t>
            </w:r>
            <w:r w:rsidRPr="002B0EC0">
              <w:rPr>
                <w:rFonts w:ascii="Times New Roman" w:hAnsi="Times New Roman"/>
                <w:b/>
                <w:bCs/>
                <w:lang w:val="en-US"/>
              </w:rPr>
              <w:t xml:space="preserve"> </w:t>
            </w:r>
            <w:r w:rsidR="00376CC2">
              <w:rPr>
                <w:rFonts w:ascii="Times New Roman" w:hAnsi="Times New Roman"/>
                <w:b/>
                <w:bCs/>
                <w:lang w:val="en-US"/>
              </w:rPr>
              <w:t>had</w:t>
            </w:r>
            <w:r w:rsidRPr="002B0EC0">
              <w:rPr>
                <w:rFonts w:ascii="Times New Roman" w:hAnsi="Times New Roman"/>
                <w:b/>
                <w:bCs/>
                <w:lang w:val="en-US"/>
              </w:rPr>
              <w:t xml:space="preserve"> at least 10 </w:t>
            </w:r>
            <w:r w:rsidR="006D5550">
              <w:rPr>
                <w:rFonts w:ascii="Times New Roman" w:hAnsi="Times New Roman"/>
                <w:b/>
                <w:bCs/>
                <w:lang w:val="en-US"/>
              </w:rPr>
              <w:t>contracts</w:t>
            </w:r>
            <w:r w:rsidRPr="002B0EC0">
              <w:rPr>
                <w:rFonts w:ascii="Times New Roman" w:hAnsi="Times New Roman"/>
                <w:b/>
                <w:bCs/>
                <w:lang w:val="en-US"/>
              </w:rPr>
              <w:t xml:space="preserve"> </w:t>
            </w:r>
            <w:r w:rsidR="00376CC2">
              <w:rPr>
                <w:rFonts w:ascii="Times New Roman" w:hAnsi="Times New Roman"/>
                <w:b/>
                <w:bCs/>
                <w:lang w:val="en-US"/>
              </w:rPr>
              <w:t>with</w:t>
            </w:r>
            <w:r w:rsidRPr="002B0EC0">
              <w:rPr>
                <w:rFonts w:ascii="Times New Roman" w:hAnsi="Times New Roman"/>
                <w:b/>
                <w:bCs/>
                <w:lang w:val="en-US"/>
              </w:rPr>
              <w:t xml:space="preserve"> business entities insured in Lithuania (signed and valid insurance contracts).</w:t>
            </w:r>
          </w:p>
          <w:p w14:paraId="71A8830D" w14:textId="77777777" w:rsidR="00AB79F1" w:rsidRPr="002B0EC0" w:rsidRDefault="00AB79F1" w:rsidP="00AA6EDF">
            <w:pPr>
              <w:rPr>
                <w:rFonts w:ascii="Times New Roman" w:hAnsi="Times New Roman"/>
                <w:b/>
                <w:bCs/>
              </w:rPr>
            </w:pPr>
          </w:p>
        </w:tc>
        <w:tc>
          <w:tcPr>
            <w:tcW w:w="3540" w:type="dxa"/>
          </w:tcPr>
          <w:p w14:paraId="68B87D09" w14:textId="77777777" w:rsidR="00AB79F1" w:rsidRPr="002B0EC0" w:rsidRDefault="00AB79F1" w:rsidP="00204052">
            <w:pPr>
              <w:spacing w:after="0"/>
              <w:jc w:val="both"/>
              <w:rPr>
                <w:rFonts w:ascii="Times New Roman" w:hAnsi="Times New Roman"/>
              </w:rPr>
            </w:pPr>
          </w:p>
        </w:tc>
        <w:tc>
          <w:tcPr>
            <w:tcW w:w="3586" w:type="dxa"/>
          </w:tcPr>
          <w:p w14:paraId="08A1B118" w14:textId="77777777" w:rsidR="00AB79F1" w:rsidRPr="002B0EC0" w:rsidRDefault="00AB79F1" w:rsidP="00204052">
            <w:pPr>
              <w:spacing w:after="0"/>
              <w:jc w:val="both"/>
              <w:rPr>
                <w:rFonts w:ascii="Times New Roman" w:hAnsi="Times New Roman"/>
              </w:rPr>
            </w:pPr>
          </w:p>
        </w:tc>
        <w:tc>
          <w:tcPr>
            <w:tcW w:w="5206" w:type="dxa"/>
          </w:tcPr>
          <w:p w14:paraId="3E138BA2" w14:textId="77777777" w:rsidR="00AB79F1" w:rsidRPr="002B0EC0" w:rsidRDefault="004E47A2" w:rsidP="00204052">
            <w:pPr>
              <w:spacing w:after="0"/>
              <w:jc w:val="both"/>
              <w:rPr>
                <w:rFonts w:ascii="Times New Roman" w:hAnsi="Times New Roman" w:cs="Times New Roman"/>
              </w:rPr>
            </w:pPr>
            <w:r w:rsidRPr="007D53E3">
              <w:rPr>
                <w:rFonts w:ascii="Times New Roman" w:hAnsi="Times New Roman"/>
                <w:lang w:val="en-US"/>
              </w:rPr>
              <w:t>The information is provided in the form of a list.</w:t>
            </w:r>
          </w:p>
          <w:p w14:paraId="0EE09C3F" w14:textId="77777777" w:rsidR="003B63B6" w:rsidRPr="002B0EC0" w:rsidRDefault="003B63B6" w:rsidP="00204052">
            <w:pPr>
              <w:spacing w:after="0"/>
              <w:jc w:val="both"/>
              <w:rPr>
                <w:rFonts w:ascii="Times New Roman" w:hAnsi="Times New Roman" w:cs="Times New Roman"/>
              </w:rPr>
            </w:pPr>
          </w:p>
          <w:p w14:paraId="59D6E0EC" w14:textId="77777777" w:rsidR="003B63B6" w:rsidRPr="002B0EC0" w:rsidRDefault="003B63B6" w:rsidP="00720216">
            <w:pPr>
              <w:spacing w:after="0"/>
              <w:jc w:val="both"/>
              <w:rPr>
                <w:rFonts w:ascii="Times New Roman" w:hAnsi="Times New Roman"/>
              </w:rPr>
            </w:pPr>
          </w:p>
        </w:tc>
      </w:tr>
      <w:bookmarkEnd w:id="4"/>
    </w:tbl>
    <w:p w14:paraId="707F38BA" w14:textId="77777777" w:rsidR="00063036" w:rsidRDefault="00063036" w:rsidP="00DE2CFA">
      <w:pPr>
        <w:tabs>
          <w:tab w:val="left" w:pos="709"/>
        </w:tabs>
        <w:autoSpaceDE w:val="0"/>
        <w:autoSpaceDN w:val="0"/>
        <w:adjustRightInd w:val="0"/>
        <w:spacing w:after="0" w:line="240" w:lineRule="auto"/>
        <w:rPr>
          <w:rFonts w:ascii="Times New Roman" w:hAnsi="Times New Roman"/>
          <w:sz w:val="20"/>
          <w:szCs w:val="20"/>
        </w:rPr>
      </w:pPr>
    </w:p>
    <w:p w14:paraId="06C0D50F" w14:textId="77777777" w:rsidR="00B11FC7" w:rsidRDefault="00B11FC7" w:rsidP="00DE2CFA">
      <w:pPr>
        <w:tabs>
          <w:tab w:val="left" w:pos="709"/>
        </w:tabs>
        <w:autoSpaceDE w:val="0"/>
        <w:autoSpaceDN w:val="0"/>
        <w:adjustRightInd w:val="0"/>
        <w:spacing w:after="0" w:line="240" w:lineRule="auto"/>
        <w:rPr>
          <w:rFonts w:ascii="Times New Roman" w:hAnsi="Times New Roman"/>
          <w:sz w:val="20"/>
          <w:szCs w:val="20"/>
          <w:lang w:val="en-US"/>
        </w:rPr>
      </w:pPr>
    </w:p>
    <w:p w14:paraId="3D12DE31" w14:textId="77777777" w:rsidR="00B11FC7" w:rsidRDefault="00B11FC7" w:rsidP="00DE2CFA">
      <w:pPr>
        <w:tabs>
          <w:tab w:val="left" w:pos="709"/>
        </w:tabs>
        <w:autoSpaceDE w:val="0"/>
        <w:autoSpaceDN w:val="0"/>
        <w:adjustRightInd w:val="0"/>
        <w:spacing w:after="0" w:line="240" w:lineRule="auto"/>
        <w:rPr>
          <w:rFonts w:ascii="Times New Roman" w:hAnsi="Times New Roman"/>
          <w:sz w:val="20"/>
          <w:szCs w:val="20"/>
          <w:lang w:val="en-US"/>
        </w:rPr>
      </w:pPr>
    </w:p>
    <w:p w14:paraId="757194FF" w14:textId="77777777" w:rsidR="00B11FC7" w:rsidRDefault="00B11FC7" w:rsidP="00DE2CFA">
      <w:pPr>
        <w:tabs>
          <w:tab w:val="left" w:pos="709"/>
        </w:tabs>
        <w:autoSpaceDE w:val="0"/>
        <w:autoSpaceDN w:val="0"/>
        <w:adjustRightInd w:val="0"/>
        <w:spacing w:after="0" w:line="240" w:lineRule="auto"/>
        <w:rPr>
          <w:rFonts w:ascii="Times New Roman" w:hAnsi="Times New Roman"/>
          <w:sz w:val="20"/>
          <w:szCs w:val="20"/>
          <w:lang w:val="en-US"/>
        </w:rPr>
      </w:pPr>
    </w:p>
    <w:p w14:paraId="112ED372" w14:textId="77777777" w:rsidR="00B11FC7" w:rsidRDefault="00B11FC7" w:rsidP="00DE2CFA">
      <w:pPr>
        <w:tabs>
          <w:tab w:val="left" w:pos="709"/>
        </w:tabs>
        <w:autoSpaceDE w:val="0"/>
        <w:autoSpaceDN w:val="0"/>
        <w:adjustRightInd w:val="0"/>
        <w:spacing w:after="0" w:line="240" w:lineRule="auto"/>
        <w:rPr>
          <w:rFonts w:ascii="Times New Roman" w:hAnsi="Times New Roman"/>
          <w:sz w:val="20"/>
          <w:szCs w:val="20"/>
          <w:lang w:val="en-US"/>
        </w:rPr>
      </w:pPr>
    </w:p>
    <w:p w14:paraId="60F2C4B1" w14:textId="77777777" w:rsidR="00B11FC7" w:rsidRDefault="00B11FC7" w:rsidP="00DE2CFA">
      <w:pPr>
        <w:tabs>
          <w:tab w:val="left" w:pos="709"/>
        </w:tabs>
        <w:autoSpaceDE w:val="0"/>
        <w:autoSpaceDN w:val="0"/>
        <w:adjustRightInd w:val="0"/>
        <w:spacing w:after="0" w:line="240" w:lineRule="auto"/>
        <w:rPr>
          <w:rFonts w:ascii="Times New Roman" w:hAnsi="Times New Roman"/>
          <w:sz w:val="20"/>
          <w:szCs w:val="20"/>
          <w:lang w:val="en-US"/>
        </w:rPr>
      </w:pPr>
    </w:p>
    <w:p w14:paraId="686B3E2B" w14:textId="77777777" w:rsidR="00B11FC7" w:rsidRDefault="00B11FC7" w:rsidP="00DE2CFA">
      <w:pPr>
        <w:tabs>
          <w:tab w:val="left" w:pos="709"/>
        </w:tabs>
        <w:autoSpaceDE w:val="0"/>
        <w:autoSpaceDN w:val="0"/>
        <w:adjustRightInd w:val="0"/>
        <w:spacing w:after="0" w:line="240" w:lineRule="auto"/>
        <w:rPr>
          <w:rFonts w:ascii="Times New Roman" w:hAnsi="Times New Roman"/>
          <w:sz w:val="20"/>
          <w:szCs w:val="20"/>
          <w:lang w:val="en-US"/>
        </w:rPr>
      </w:pPr>
    </w:p>
    <w:p w14:paraId="3AA97D1E" w14:textId="77777777" w:rsidR="00B11FC7" w:rsidRDefault="00B11FC7" w:rsidP="00DE2CFA">
      <w:pPr>
        <w:tabs>
          <w:tab w:val="left" w:pos="709"/>
        </w:tabs>
        <w:autoSpaceDE w:val="0"/>
        <w:autoSpaceDN w:val="0"/>
        <w:adjustRightInd w:val="0"/>
        <w:spacing w:after="0" w:line="240" w:lineRule="auto"/>
        <w:rPr>
          <w:rFonts w:ascii="Times New Roman" w:hAnsi="Times New Roman"/>
          <w:sz w:val="20"/>
          <w:szCs w:val="20"/>
          <w:lang w:val="en-US"/>
        </w:rPr>
      </w:pPr>
    </w:p>
    <w:p w14:paraId="5BB0323A" w14:textId="753CDAF9" w:rsidR="00DE2CFA" w:rsidRPr="001C6716" w:rsidRDefault="004E47A2" w:rsidP="00DE2CFA">
      <w:pPr>
        <w:tabs>
          <w:tab w:val="left" w:pos="709"/>
        </w:tabs>
        <w:autoSpaceDE w:val="0"/>
        <w:autoSpaceDN w:val="0"/>
        <w:adjustRightInd w:val="0"/>
        <w:spacing w:after="0" w:line="240" w:lineRule="auto"/>
        <w:rPr>
          <w:rFonts w:ascii="Times New Roman" w:hAnsi="Times New Roman"/>
          <w:sz w:val="20"/>
          <w:szCs w:val="20"/>
        </w:rPr>
      </w:pPr>
      <w:r w:rsidRPr="001C6716">
        <w:rPr>
          <w:rFonts w:ascii="Times New Roman" w:hAnsi="Times New Roman"/>
          <w:sz w:val="20"/>
          <w:szCs w:val="20"/>
          <w:lang w:val="en-US"/>
        </w:rPr>
        <w:lastRenderedPageBreak/>
        <w:t>EXPLANATIONS:</w:t>
      </w:r>
    </w:p>
    <w:p w14:paraId="1183C240" w14:textId="45C48EAB" w:rsidR="00DE2CFA" w:rsidRPr="00560792" w:rsidRDefault="004E47A2" w:rsidP="00DE2CFA">
      <w:pPr>
        <w:autoSpaceDE w:val="0"/>
        <w:autoSpaceDN w:val="0"/>
        <w:adjustRightInd w:val="0"/>
        <w:spacing w:after="0" w:line="240" w:lineRule="auto"/>
        <w:ind w:firstLine="851"/>
        <w:jc w:val="both"/>
        <w:rPr>
          <w:rFonts w:ascii="Times New Roman" w:hAnsi="Times New Roman"/>
          <w:sz w:val="20"/>
          <w:szCs w:val="20"/>
        </w:rPr>
      </w:pPr>
      <w:r w:rsidRPr="00560792">
        <w:rPr>
          <w:rFonts w:ascii="Times New Roman" w:hAnsi="Times New Roman"/>
          <w:sz w:val="20"/>
          <w:szCs w:val="20"/>
          <w:lang w:val="en-US"/>
        </w:rPr>
        <w:t xml:space="preserve">* </w:t>
      </w:r>
      <w:r w:rsidR="00376CC2">
        <w:rPr>
          <w:rFonts w:ascii="Times New Roman" w:hAnsi="Times New Roman"/>
          <w:sz w:val="20"/>
          <w:szCs w:val="20"/>
          <w:lang w:val="en-US"/>
        </w:rPr>
        <w:t>Where</w:t>
      </w:r>
      <w:r w:rsidRPr="00560792">
        <w:rPr>
          <w:rFonts w:ascii="Times New Roman" w:hAnsi="Times New Roman"/>
          <w:sz w:val="20"/>
          <w:szCs w:val="20"/>
          <w:lang w:val="en-US"/>
        </w:rPr>
        <w:t xml:space="preserve"> the Insurer's activities are supervised by the Bank of Lithuania, it is assumed that this institution has verified the Insurer's compliance with these eligibility requirements, therefore the evaluation of eligibility requirements set out in Table is not performed, however, based on the information provided on the website of the Bank of Lithuania, it is verified if the Insurer is not under any sanctions or operating restrictions. If the Insurer is subject to sanctions or operating restrictions, Invega may request additional information in order to assess the extent of the identified violations, the deadlines for their correction and the impact on the applicable eligibility requirements. The Insurer must provide explanations as to what actions have been taken to ensure that the violations due to which the Bank of Lithuania's sanctions or operating restrictions were imposed are corrected or lifted and will not affect the proper implementation of the TCIPG </w:t>
      </w:r>
      <w:r w:rsidR="003F2A4B">
        <w:rPr>
          <w:rFonts w:ascii="Times New Roman" w:hAnsi="Times New Roman"/>
          <w:sz w:val="20"/>
          <w:szCs w:val="20"/>
          <w:lang w:val="en-US"/>
        </w:rPr>
        <w:t>instrument</w:t>
      </w:r>
      <w:r w:rsidRPr="00560792">
        <w:rPr>
          <w:rFonts w:ascii="Times New Roman" w:hAnsi="Times New Roman"/>
          <w:sz w:val="20"/>
          <w:szCs w:val="20"/>
          <w:lang w:val="en-US"/>
        </w:rPr>
        <w:t>. No additional explanations shall be requested from the Insurer whe</w:t>
      </w:r>
      <w:r w:rsidR="00376CC2">
        <w:rPr>
          <w:rFonts w:ascii="Times New Roman" w:hAnsi="Times New Roman"/>
          <w:sz w:val="20"/>
          <w:szCs w:val="20"/>
          <w:lang w:val="en-US"/>
        </w:rPr>
        <w:t>re</w:t>
      </w:r>
      <w:r w:rsidRPr="00560792">
        <w:rPr>
          <w:rFonts w:ascii="Times New Roman" w:hAnsi="Times New Roman"/>
          <w:sz w:val="20"/>
          <w:szCs w:val="20"/>
          <w:lang w:val="en-US"/>
        </w:rPr>
        <w:t xml:space="preserve"> the sanction applied by the Bank of Lithuania is a warning.</w:t>
      </w:r>
    </w:p>
    <w:p w14:paraId="06BFC94D" w14:textId="77777777" w:rsidR="006328E0" w:rsidRDefault="006328E0" w:rsidP="00EB3B06">
      <w:pPr>
        <w:autoSpaceDE w:val="0"/>
        <w:autoSpaceDN w:val="0"/>
        <w:adjustRightInd w:val="0"/>
        <w:spacing w:after="0" w:line="240" w:lineRule="auto"/>
        <w:ind w:firstLine="851"/>
        <w:jc w:val="both"/>
        <w:rPr>
          <w:rFonts w:ascii="Times New Roman" w:hAnsi="Times New Roman"/>
          <w:sz w:val="20"/>
          <w:szCs w:val="20"/>
        </w:rPr>
      </w:pPr>
    </w:p>
    <w:p w14:paraId="069A3D5B" w14:textId="77777777" w:rsidR="006328E0" w:rsidRPr="006328E0" w:rsidRDefault="006328E0" w:rsidP="006328E0">
      <w:pPr>
        <w:autoSpaceDE w:val="0"/>
        <w:autoSpaceDN w:val="0"/>
        <w:adjustRightInd w:val="0"/>
        <w:spacing w:after="0" w:line="240" w:lineRule="auto"/>
        <w:ind w:firstLine="851"/>
        <w:jc w:val="both"/>
        <w:rPr>
          <w:rFonts w:ascii="Times New Roman" w:hAnsi="Times New Roman"/>
          <w:sz w:val="20"/>
          <w:szCs w:val="20"/>
        </w:rPr>
      </w:pPr>
    </w:p>
    <w:p w14:paraId="6630903E" w14:textId="77777777" w:rsidR="006328E0" w:rsidRPr="00BF76CB" w:rsidRDefault="006328E0" w:rsidP="006328E0">
      <w:pPr>
        <w:autoSpaceDE w:val="0"/>
        <w:autoSpaceDN w:val="0"/>
        <w:adjustRightInd w:val="0"/>
        <w:spacing w:after="0" w:line="240" w:lineRule="auto"/>
        <w:ind w:firstLine="851"/>
        <w:jc w:val="both"/>
        <w:rPr>
          <w:rFonts w:ascii="Times New Roman" w:hAnsi="Times New Roman"/>
          <w:sz w:val="20"/>
          <w:szCs w:val="20"/>
        </w:rPr>
        <w:sectPr w:rsidR="006328E0" w:rsidRPr="00BF76CB" w:rsidSect="00A71989">
          <w:pgSz w:w="16838" w:h="11906" w:orient="landscape"/>
          <w:pgMar w:top="1701" w:right="993" w:bottom="709" w:left="851" w:header="454" w:footer="567" w:gutter="0"/>
          <w:cols w:space="1296"/>
          <w:titlePg/>
          <w:docGrid w:linePitch="360"/>
        </w:sectPr>
      </w:pPr>
    </w:p>
    <w:p w14:paraId="701A7F99" w14:textId="77777777" w:rsidR="00CA48DE" w:rsidRPr="00A1481B" w:rsidRDefault="00CA48DE" w:rsidP="00EB3B06">
      <w:pPr>
        <w:autoSpaceDE w:val="0"/>
        <w:autoSpaceDN w:val="0"/>
        <w:adjustRightInd w:val="0"/>
        <w:spacing w:after="0" w:line="240" w:lineRule="auto"/>
        <w:ind w:firstLine="851"/>
        <w:jc w:val="both"/>
        <w:rPr>
          <w:rFonts w:ascii="Times New Roman" w:hAnsi="Times New Roman"/>
        </w:rPr>
      </w:pPr>
    </w:p>
    <w:p w14:paraId="439E120F" w14:textId="20A22132" w:rsidR="00DB04D2" w:rsidRDefault="004E47A2" w:rsidP="001C6716">
      <w:pPr>
        <w:pStyle w:val="ListParagraph"/>
        <w:numPr>
          <w:ilvl w:val="0"/>
          <w:numId w:val="1"/>
        </w:numPr>
        <w:tabs>
          <w:tab w:val="left" w:pos="284"/>
        </w:tabs>
        <w:autoSpaceDE w:val="0"/>
        <w:autoSpaceDN w:val="0"/>
        <w:adjustRightInd w:val="0"/>
        <w:spacing w:after="0" w:line="240" w:lineRule="auto"/>
        <w:ind w:left="0" w:firstLine="0"/>
        <w:jc w:val="center"/>
        <w:rPr>
          <w:rFonts w:ascii="Times New Roman" w:hAnsi="Times New Roman"/>
          <w:b/>
          <w:sz w:val="24"/>
          <w:szCs w:val="24"/>
        </w:rPr>
      </w:pPr>
      <w:r w:rsidRPr="00161CBE">
        <w:rPr>
          <w:rFonts w:ascii="Times New Roman" w:hAnsi="Times New Roman"/>
          <w:b/>
          <w:bCs/>
          <w:sz w:val="24"/>
          <w:szCs w:val="24"/>
          <w:lang w:val="en-US"/>
        </w:rPr>
        <w:t xml:space="preserve">ALLOCATION OF TCIPG </w:t>
      </w:r>
      <w:r w:rsidR="003F2A4B">
        <w:rPr>
          <w:rFonts w:ascii="Times New Roman" w:hAnsi="Times New Roman"/>
          <w:b/>
          <w:bCs/>
          <w:sz w:val="24"/>
          <w:szCs w:val="24"/>
          <w:lang w:val="en-US"/>
        </w:rPr>
        <w:t>INSTRUMENT</w:t>
      </w:r>
      <w:r w:rsidRPr="00161CBE">
        <w:rPr>
          <w:rFonts w:ascii="Times New Roman" w:hAnsi="Times New Roman"/>
          <w:b/>
          <w:bCs/>
          <w:sz w:val="24"/>
          <w:szCs w:val="24"/>
          <w:lang w:val="en-US"/>
        </w:rPr>
        <w:t xml:space="preserve"> FUNDS </w:t>
      </w:r>
    </w:p>
    <w:p w14:paraId="22279E7F" w14:textId="77777777" w:rsidR="001E7CC0" w:rsidRDefault="001E7CC0" w:rsidP="001E7CC0">
      <w:pPr>
        <w:pStyle w:val="ListParagraph"/>
        <w:autoSpaceDE w:val="0"/>
        <w:autoSpaceDN w:val="0"/>
        <w:adjustRightInd w:val="0"/>
        <w:spacing w:after="0" w:line="240" w:lineRule="auto"/>
        <w:ind w:left="1211"/>
        <w:rPr>
          <w:rFonts w:ascii="Times New Roman" w:hAnsi="Times New Roman"/>
          <w:b/>
          <w:sz w:val="24"/>
          <w:szCs w:val="24"/>
        </w:rPr>
      </w:pPr>
    </w:p>
    <w:p w14:paraId="64F827D4" w14:textId="4CD5E924" w:rsidR="005C3AED" w:rsidRPr="00207D85" w:rsidRDefault="004E47A2" w:rsidP="005C3AED">
      <w:pPr>
        <w:pStyle w:val="Heading1"/>
        <w:numPr>
          <w:ilvl w:val="1"/>
          <w:numId w:val="11"/>
        </w:numPr>
        <w:tabs>
          <w:tab w:val="left" w:pos="851"/>
        </w:tabs>
        <w:spacing w:before="0" w:after="0"/>
        <w:ind w:left="0" w:firstLine="426"/>
        <w:jc w:val="both"/>
        <w:rPr>
          <w:rFonts w:ascii="Times New Roman" w:hAnsi="Times New Roman"/>
          <w:b w:val="0"/>
          <w:sz w:val="24"/>
          <w:szCs w:val="24"/>
        </w:rPr>
      </w:pPr>
      <w:r w:rsidRPr="00207D85">
        <w:rPr>
          <w:rFonts w:ascii="Times New Roman" w:hAnsi="Times New Roman"/>
          <w:b w:val="0"/>
          <w:sz w:val="24"/>
          <w:szCs w:val="24"/>
          <w:lang w:val="en-US"/>
        </w:rPr>
        <w:t xml:space="preserve">When allocating the TCIPG </w:t>
      </w:r>
      <w:r w:rsidR="003F2A4B">
        <w:rPr>
          <w:rFonts w:ascii="Times New Roman" w:hAnsi="Times New Roman"/>
          <w:b w:val="0"/>
          <w:sz w:val="24"/>
          <w:szCs w:val="24"/>
          <w:lang w:val="en-US"/>
        </w:rPr>
        <w:t>instrument</w:t>
      </w:r>
      <w:r w:rsidRPr="00207D85">
        <w:rPr>
          <w:rFonts w:ascii="Times New Roman" w:hAnsi="Times New Roman"/>
          <w:b w:val="0"/>
          <w:sz w:val="24"/>
          <w:szCs w:val="24"/>
          <w:lang w:val="en-US"/>
        </w:rPr>
        <w:t xml:space="preserve"> funds to Insurers, it </w:t>
      </w:r>
      <w:r w:rsidR="00706A67">
        <w:rPr>
          <w:rFonts w:ascii="Times New Roman" w:hAnsi="Times New Roman"/>
          <w:b w:val="0"/>
          <w:sz w:val="24"/>
          <w:szCs w:val="24"/>
          <w:lang w:val="en-US"/>
        </w:rPr>
        <w:t>shall be considered</w:t>
      </w:r>
      <w:r w:rsidRPr="00207D85">
        <w:rPr>
          <w:rFonts w:ascii="Times New Roman" w:hAnsi="Times New Roman"/>
          <w:b w:val="0"/>
          <w:sz w:val="24"/>
          <w:szCs w:val="24"/>
          <w:lang w:val="en-US"/>
        </w:rPr>
        <w:t xml:space="preserve"> that Insurers </w:t>
      </w:r>
      <w:r w:rsidR="0029282E">
        <w:rPr>
          <w:rFonts w:ascii="Times New Roman" w:hAnsi="Times New Roman"/>
          <w:b w:val="0"/>
          <w:sz w:val="24"/>
          <w:szCs w:val="24"/>
          <w:lang w:val="en-US"/>
        </w:rPr>
        <w:t>which</w:t>
      </w:r>
      <w:r w:rsidRPr="00207D85">
        <w:rPr>
          <w:rFonts w:ascii="Times New Roman" w:hAnsi="Times New Roman"/>
          <w:b w:val="0"/>
          <w:sz w:val="24"/>
          <w:szCs w:val="24"/>
          <w:lang w:val="en-US"/>
        </w:rPr>
        <w:t xml:space="preserve"> have submitted applications (and documents required to be submitted therewith) and </w:t>
      </w:r>
      <w:r w:rsidR="0029282E">
        <w:rPr>
          <w:rFonts w:ascii="Times New Roman" w:hAnsi="Times New Roman"/>
          <w:b w:val="0"/>
          <w:sz w:val="24"/>
          <w:szCs w:val="24"/>
          <w:lang w:val="en-US"/>
        </w:rPr>
        <w:t>which</w:t>
      </w:r>
      <w:r w:rsidRPr="00207D85">
        <w:rPr>
          <w:rFonts w:ascii="Times New Roman" w:hAnsi="Times New Roman"/>
          <w:b w:val="0"/>
          <w:sz w:val="24"/>
          <w:szCs w:val="24"/>
          <w:lang w:val="en-US"/>
        </w:rPr>
        <w:t xml:space="preserve"> meet the eligibility requirements acquire the right to receive</w:t>
      </w:r>
      <w:bookmarkStart w:id="5" w:name="_Hlk36383395"/>
      <w:r w:rsidRPr="00207D85">
        <w:rPr>
          <w:rFonts w:ascii="Times New Roman" w:hAnsi="Times New Roman"/>
          <w:b w:val="0"/>
          <w:sz w:val="24"/>
          <w:szCs w:val="24"/>
          <w:lang w:val="en-US"/>
        </w:rPr>
        <w:t xml:space="preserve"> a part of the TCIPG </w:t>
      </w:r>
      <w:r w:rsidR="003F2A4B">
        <w:rPr>
          <w:rFonts w:ascii="Times New Roman" w:hAnsi="Times New Roman"/>
          <w:b w:val="0"/>
          <w:sz w:val="24"/>
          <w:szCs w:val="24"/>
          <w:lang w:val="en-US"/>
        </w:rPr>
        <w:t>instrument</w:t>
      </w:r>
      <w:r w:rsidRPr="00207D85">
        <w:rPr>
          <w:rFonts w:ascii="Times New Roman" w:hAnsi="Times New Roman"/>
          <w:b w:val="0"/>
          <w:sz w:val="24"/>
          <w:szCs w:val="24"/>
          <w:lang w:val="en-US"/>
        </w:rPr>
        <w:t xml:space="preserve"> funds</w:t>
      </w:r>
      <w:bookmarkEnd w:id="5"/>
      <w:r w:rsidRPr="00207D85">
        <w:rPr>
          <w:rFonts w:ascii="Times New Roman" w:hAnsi="Times New Roman"/>
          <w:b w:val="0"/>
          <w:sz w:val="24"/>
          <w:szCs w:val="24"/>
          <w:lang w:val="en-US"/>
        </w:rPr>
        <w:t xml:space="preserve"> that  is distributed proportionally according to the share of trade credit limits granted by Insurers to Lithuanian policyholders </w:t>
      </w:r>
      <w:r w:rsidR="005F3B4E">
        <w:rPr>
          <w:rFonts w:ascii="Times New Roman" w:hAnsi="Times New Roman"/>
          <w:b w:val="0"/>
          <w:sz w:val="24"/>
          <w:szCs w:val="24"/>
          <w:lang w:val="en-US"/>
        </w:rPr>
        <w:t>o</w:t>
      </w:r>
      <w:r w:rsidRPr="00207D85">
        <w:rPr>
          <w:rFonts w:ascii="Times New Roman" w:hAnsi="Times New Roman"/>
          <w:b w:val="0"/>
          <w:sz w:val="24"/>
          <w:szCs w:val="24"/>
          <w:lang w:val="en-US"/>
        </w:rPr>
        <w:t xml:space="preserve">n </w:t>
      </w:r>
      <w:r w:rsidR="005F3B4E">
        <w:rPr>
          <w:rFonts w:ascii="Times New Roman" w:hAnsi="Times New Roman"/>
          <w:b w:val="0"/>
          <w:sz w:val="24"/>
          <w:szCs w:val="24"/>
          <w:lang w:val="en-US"/>
        </w:rPr>
        <w:t xml:space="preserve">31 December </w:t>
      </w:r>
      <w:r w:rsidRPr="00207D85">
        <w:rPr>
          <w:rFonts w:ascii="Times New Roman" w:hAnsi="Times New Roman"/>
          <w:b w:val="0"/>
          <w:sz w:val="24"/>
          <w:szCs w:val="24"/>
          <w:lang w:val="en-US"/>
        </w:rPr>
        <w:t xml:space="preserve">2019.   </w:t>
      </w:r>
    </w:p>
    <w:p w14:paraId="1F1CEAFA" w14:textId="77777777" w:rsidR="005A2D30" w:rsidRPr="005A2D30" w:rsidRDefault="005A2D30" w:rsidP="005A2D30"/>
    <w:p w14:paraId="336F2F12" w14:textId="77777777" w:rsidR="00FA2FDC" w:rsidRDefault="004E47A2" w:rsidP="005A2D30">
      <w:pPr>
        <w:pStyle w:val="ListParagraph"/>
        <w:keepNext/>
        <w:numPr>
          <w:ilvl w:val="0"/>
          <w:numId w:val="1"/>
        </w:numPr>
        <w:tabs>
          <w:tab w:val="left" w:pos="284"/>
        </w:tabs>
        <w:autoSpaceDE w:val="0"/>
        <w:autoSpaceDN w:val="0"/>
        <w:adjustRightInd w:val="0"/>
        <w:spacing w:after="0" w:line="240" w:lineRule="auto"/>
        <w:ind w:left="0" w:firstLine="0"/>
        <w:jc w:val="center"/>
        <w:rPr>
          <w:rFonts w:ascii="Times New Roman" w:hAnsi="Times New Roman"/>
          <w:b/>
          <w:sz w:val="24"/>
          <w:szCs w:val="24"/>
        </w:rPr>
      </w:pPr>
      <w:r>
        <w:rPr>
          <w:rFonts w:ascii="Times New Roman" w:hAnsi="Times New Roman"/>
          <w:b/>
          <w:sz w:val="24"/>
          <w:szCs w:val="24"/>
          <w:lang w:val="en-US"/>
        </w:rPr>
        <w:t>CONTRACTUAL PROVISIONS</w:t>
      </w:r>
    </w:p>
    <w:p w14:paraId="4B6D8C7F" w14:textId="77777777" w:rsidR="00AF5122" w:rsidRDefault="00AF5122" w:rsidP="006E6CF4">
      <w:pPr>
        <w:pStyle w:val="ListParagraph"/>
        <w:keepNext/>
        <w:tabs>
          <w:tab w:val="left" w:pos="284"/>
        </w:tabs>
        <w:autoSpaceDE w:val="0"/>
        <w:autoSpaceDN w:val="0"/>
        <w:adjustRightInd w:val="0"/>
        <w:spacing w:after="0" w:line="240" w:lineRule="auto"/>
        <w:ind w:left="0"/>
        <w:rPr>
          <w:rFonts w:ascii="Times New Roman" w:hAnsi="Times New Roman"/>
          <w:b/>
          <w:sz w:val="24"/>
          <w:szCs w:val="24"/>
        </w:rPr>
      </w:pPr>
    </w:p>
    <w:p w14:paraId="44B3BE80" w14:textId="7750CF66" w:rsidR="00FA2FDC" w:rsidRPr="00161CBE" w:rsidRDefault="004E47A2" w:rsidP="008D23EF">
      <w:pPr>
        <w:pStyle w:val="Heading1"/>
        <w:numPr>
          <w:ilvl w:val="1"/>
          <w:numId w:val="5"/>
        </w:numPr>
        <w:tabs>
          <w:tab w:val="left" w:pos="851"/>
        </w:tabs>
        <w:spacing w:before="0" w:after="0"/>
        <w:ind w:left="0" w:firstLine="425"/>
        <w:jc w:val="both"/>
        <w:rPr>
          <w:rFonts w:ascii="Times New Roman" w:hAnsi="Times New Roman"/>
          <w:b w:val="0"/>
          <w:bCs w:val="0"/>
          <w:sz w:val="24"/>
          <w:szCs w:val="24"/>
        </w:rPr>
      </w:pPr>
      <w:r w:rsidRPr="000C696D">
        <w:rPr>
          <w:rFonts w:ascii="Times New Roman" w:eastAsia="Calibri" w:hAnsi="Times New Roman"/>
          <w:b w:val="0"/>
          <w:bCs w:val="0"/>
          <w:kern w:val="0"/>
          <w:sz w:val="24"/>
          <w:szCs w:val="24"/>
          <w:lang w:val="en-US"/>
        </w:rPr>
        <w:t xml:space="preserve">The concluded Contract </w:t>
      </w:r>
      <w:r>
        <w:rPr>
          <w:rFonts w:ascii="Times New Roman" w:eastAsia="Calibri" w:hAnsi="Times New Roman"/>
          <w:b w:val="0"/>
          <w:bCs w:val="0"/>
          <w:kern w:val="0"/>
          <w:sz w:val="24"/>
          <w:szCs w:val="24"/>
          <w:lang w:val="en-US"/>
        </w:rPr>
        <w:t>shall be</w:t>
      </w:r>
      <w:r w:rsidRPr="000C696D">
        <w:rPr>
          <w:rFonts w:ascii="Times New Roman" w:eastAsia="Calibri" w:hAnsi="Times New Roman"/>
          <w:b w:val="0"/>
          <w:bCs w:val="0"/>
          <w:kern w:val="0"/>
          <w:sz w:val="24"/>
          <w:szCs w:val="24"/>
          <w:lang w:val="en-US"/>
        </w:rPr>
        <w:t xml:space="preserve"> valid until the fulfillment of the parties' obligations under the Contract, but not longer than until 31 December 2024. The </w:t>
      </w:r>
      <w:r w:rsidR="00BE4374">
        <w:rPr>
          <w:rFonts w:ascii="Times New Roman" w:eastAsia="Calibri" w:hAnsi="Times New Roman"/>
          <w:b w:val="0"/>
          <w:bCs w:val="0"/>
          <w:kern w:val="0"/>
          <w:sz w:val="24"/>
          <w:szCs w:val="24"/>
          <w:lang w:val="en-US"/>
        </w:rPr>
        <w:t>C</w:t>
      </w:r>
      <w:r w:rsidRPr="000C696D">
        <w:rPr>
          <w:rFonts w:ascii="Times New Roman" w:eastAsia="Calibri" w:hAnsi="Times New Roman"/>
          <w:b w:val="0"/>
          <w:bCs w:val="0"/>
          <w:kern w:val="0"/>
          <w:sz w:val="24"/>
          <w:szCs w:val="24"/>
          <w:lang w:val="en-US"/>
        </w:rPr>
        <w:t>ontract may be extended if the Communication is extended.</w:t>
      </w:r>
    </w:p>
    <w:p w14:paraId="3EA01096" w14:textId="7231803A" w:rsidR="001E35B1" w:rsidRPr="00952F7D" w:rsidRDefault="004E47A2" w:rsidP="008D23EF">
      <w:pPr>
        <w:pStyle w:val="ListParagraph"/>
        <w:numPr>
          <w:ilvl w:val="1"/>
          <w:numId w:val="5"/>
        </w:numPr>
        <w:tabs>
          <w:tab w:val="left" w:pos="851"/>
        </w:tabs>
        <w:spacing w:after="0"/>
        <w:ind w:left="0" w:firstLine="425"/>
        <w:jc w:val="both"/>
        <w:rPr>
          <w:rFonts w:ascii="Times New Roman" w:hAnsi="Times New Roman"/>
          <w:sz w:val="24"/>
          <w:szCs w:val="24"/>
        </w:rPr>
      </w:pPr>
      <w:r w:rsidRPr="00952F7D">
        <w:rPr>
          <w:rFonts w:ascii="Times New Roman" w:hAnsi="Times New Roman"/>
          <w:sz w:val="24"/>
          <w:szCs w:val="24"/>
          <w:lang w:val="en-US"/>
        </w:rPr>
        <w:t xml:space="preserve">The Contract to be concluded </w:t>
      </w:r>
      <w:r>
        <w:rPr>
          <w:rFonts w:ascii="Times New Roman" w:hAnsi="Times New Roman"/>
          <w:sz w:val="24"/>
          <w:szCs w:val="24"/>
          <w:lang w:val="en-US"/>
        </w:rPr>
        <w:t>shall</w:t>
      </w:r>
      <w:r w:rsidRPr="00952F7D">
        <w:rPr>
          <w:rFonts w:ascii="Times New Roman" w:hAnsi="Times New Roman"/>
          <w:sz w:val="24"/>
          <w:szCs w:val="24"/>
          <w:lang w:val="en-US"/>
        </w:rPr>
        <w:t xml:space="preserve"> include, </w:t>
      </w:r>
      <w:r w:rsidRPr="00952F7D">
        <w:rPr>
          <w:rFonts w:ascii="Times New Roman" w:hAnsi="Times New Roman"/>
          <w:i/>
          <w:sz w:val="24"/>
          <w:szCs w:val="24"/>
          <w:lang w:val="en-US"/>
        </w:rPr>
        <w:t>inter alia, the</w:t>
      </w:r>
      <w:r w:rsidRPr="00952F7D">
        <w:rPr>
          <w:rFonts w:ascii="Times New Roman" w:hAnsi="Times New Roman"/>
          <w:sz w:val="24"/>
          <w:szCs w:val="24"/>
          <w:lang w:val="en-US"/>
        </w:rPr>
        <w:t xml:space="preserve"> following provisions, as defined in Annex 1 to the Description (</w:t>
      </w:r>
      <w:r w:rsidR="00BE4374">
        <w:rPr>
          <w:rFonts w:ascii="Times New Roman" w:hAnsi="Times New Roman"/>
          <w:sz w:val="24"/>
          <w:szCs w:val="24"/>
          <w:lang w:val="en-US"/>
        </w:rPr>
        <w:t>Main</w:t>
      </w:r>
      <w:r w:rsidR="00BE4374" w:rsidRPr="00952F7D">
        <w:rPr>
          <w:rFonts w:ascii="Times New Roman" w:hAnsi="Times New Roman"/>
          <w:sz w:val="24"/>
          <w:szCs w:val="24"/>
          <w:lang w:val="en-US"/>
        </w:rPr>
        <w:t xml:space="preserve"> </w:t>
      </w:r>
      <w:r w:rsidRPr="00952F7D">
        <w:rPr>
          <w:rFonts w:ascii="Times New Roman" w:hAnsi="Times New Roman"/>
          <w:sz w:val="24"/>
          <w:szCs w:val="24"/>
          <w:lang w:val="en-US"/>
        </w:rPr>
        <w:t>Conditions):</w:t>
      </w:r>
    </w:p>
    <w:p w14:paraId="1DA92D66" w14:textId="5B3DC2F9" w:rsidR="001E35B1" w:rsidRPr="000C696D" w:rsidRDefault="004E47A2" w:rsidP="008D23EF">
      <w:pPr>
        <w:pStyle w:val="ListParagraph"/>
        <w:numPr>
          <w:ilvl w:val="2"/>
          <w:numId w:val="5"/>
        </w:numPr>
        <w:tabs>
          <w:tab w:val="left" w:pos="567"/>
          <w:tab w:val="left" w:pos="851"/>
          <w:tab w:val="left" w:pos="993"/>
        </w:tabs>
        <w:spacing w:after="0"/>
        <w:ind w:left="0" w:firstLine="426"/>
        <w:jc w:val="both"/>
        <w:rPr>
          <w:rFonts w:ascii="Times New Roman" w:hAnsi="Times New Roman"/>
          <w:sz w:val="24"/>
          <w:szCs w:val="24"/>
        </w:rPr>
      </w:pPr>
      <w:r w:rsidRPr="000C696D">
        <w:rPr>
          <w:rFonts w:ascii="Times New Roman" w:hAnsi="Times New Roman"/>
          <w:sz w:val="24"/>
          <w:szCs w:val="24"/>
          <w:lang w:val="en-US"/>
        </w:rPr>
        <w:t xml:space="preserve"> </w:t>
      </w:r>
      <w:r>
        <w:rPr>
          <w:rFonts w:ascii="Times New Roman" w:hAnsi="Times New Roman"/>
          <w:sz w:val="24"/>
          <w:szCs w:val="24"/>
          <w:lang w:val="en-US"/>
        </w:rPr>
        <w:t>The r</w:t>
      </w:r>
      <w:r w:rsidRPr="000C696D">
        <w:rPr>
          <w:rFonts w:ascii="Times New Roman" w:hAnsi="Times New Roman"/>
          <w:sz w:val="24"/>
          <w:szCs w:val="24"/>
          <w:lang w:val="en-US"/>
        </w:rPr>
        <w:t xml:space="preserve">esponsibilities of </w:t>
      </w:r>
      <w:r>
        <w:rPr>
          <w:rFonts w:ascii="Times New Roman" w:hAnsi="Times New Roman"/>
          <w:sz w:val="24"/>
          <w:szCs w:val="24"/>
          <w:lang w:val="en-US"/>
        </w:rPr>
        <w:t>a</w:t>
      </w:r>
      <w:r w:rsidRPr="000C696D">
        <w:rPr>
          <w:rFonts w:ascii="Times New Roman" w:hAnsi="Times New Roman"/>
          <w:sz w:val="24"/>
          <w:szCs w:val="24"/>
          <w:lang w:val="en-US"/>
        </w:rPr>
        <w:t xml:space="preserve"> TCIPG </w:t>
      </w:r>
      <w:r w:rsidR="003F2A4B">
        <w:rPr>
          <w:rFonts w:ascii="Times New Roman" w:hAnsi="Times New Roman"/>
          <w:sz w:val="24"/>
          <w:szCs w:val="24"/>
          <w:lang w:val="en-US"/>
        </w:rPr>
        <w:t>instrument</w:t>
      </w:r>
      <w:r w:rsidRPr="000C696D">
        <w:rPr>
          <w:rFonts w:ascii="Times New Roman" w:hAnsi="Times New Roman"/>
          <w:sz w:val="24"/>
          <w:szCs w:val="24"/>
          <w:lang w:val="en-US"/>
        </w:rPr>
        <w:t xml:space="preserve"> </w:t>
      </w:r>
      <w:r>
        <w:rPr>
          <w:rFonts w:ascii="Times New Roman" w:hAnsi="Times New Roman"/>
          <w:sz w:val="24"/>
          <w:szCs w:val="24"/>
          <w:lang w:val="en-US"/>
        </w:rPr>
        <w:t>m</w:t>
      </w:r>
      <w:r w:rsidRPr="000C696D">
        <w:rPr>
          <w:rFonts w:ascii="Times New Roman" w:hAnsi="Times New Roman"/>
          <w:sz w:val="24"/>
          <w:szCs w:val="24"/>
          <w:lang w:val="en-US"/>
        </w:rPr>
        <w:t>anager:</w:t>
      </w:r>
    </w:p>
    <w:p w14:paraId="7E3F72E6" w14:textId="5D027B02" w:rsidR="001E35B1" w:rsidRPr="000C696D" w:rsidRDefault="004E47A2" w:rsidP="008D23EF">
      <w:pPr>
        <w:pStyle w:val="ListParagraph"/>
        <w:numPr>
          <w:ilvl w:val="2"/>
          <w:numId w:val="5"/>
        </w:numPr>
        <w:tabs>
          <w:tab w:val="left" w:pos="851"/>
          <w:tab w:val="left" w:pos="993"/>
        </w:tabs>
        <w:spacing w:after="0"/>
        <w:ind w:left="0" w:firstLine="426"/>
        <w:jc w:val="both"/>
        <w:rPr>
          <w:rFonts w:ascii="Times New Roman" w:hAnsi="Times New Roman"/>
          <w:sz w:val="24"/>
          <w:szCs w:val="24"/>
        </w:rPr>
      </w:pPr>
      <w:r>
        <w:rPr>
          <w:rFonts w:ascii="Times New Roman" w:hAnsi="Times New Roman"/>
          <w:sz w:val="24"/>
          <w:szCs w:val="24"/>
          <w:lang w:val="en-US"/>
        </w:rPr>
        <w:t xml:space="preserve"> immediately notify Invega of any event that in their opinion is material (including, but not limited to, a breach of the eligibility conditions of the Insurance </w:t>
      </w:r>
      <w:r w:rsidR="003D2BF0">
        <w:rPr>
          <w:rFonts w:ascii="Times New Roman" w:hAnsi="Times New Roman"/>
          <w:sz w:val="24"/>
          <w:szCs w:val="24"/>
          <w:lang w:val="en-US"/>
        </w:rPr>
        <w:t>c</w:t>
      </w:r>
      <w:r>
        <w:rPr>
          <w:rFonts w:ascii="Times New Roman" w:hAnsi="Times New Roman"/>
          <w:sz w:val="24"/>
          <w:szCs w:val="24"/>
          <w:lang w:val="en-US"/>
        </w:rPr>
        <w:t xml:space="preserve">ontracts included in the Insurance </w:t>
      </w:r>
      <w:r w:rsidR="003D2BF0">
        <w:rPr>
          <w:rFonts w:ascii="Times New Roman" w:hAnsi="Times New Roman"/>
          <w:sz w:val="24"/>
          <w:szCs w:val="24"/>
          <w:lang w:val="en-US"/>
        </w:rPr>
        <w:t>p</w:t>
      </w:r>
      <w:r>
        <w:rPr>
          <w:rFonts w:ascii="Times New Roman" w:hAnsi="Times New Roman"/>
          <w:sz w:val="24"/>
          <w:szCs w:val="24"/>
          <w:lang w:val="en-US"/>
        </w:rPr>
        <w:t>ortfolios) that may require Invega to take action and/or may affect the Insurer's ability to perform its obligations assumed under the Contract;</w:t>
      </w:r>
    </w:p>
    <w:p w14:paraId="6327E161" w14:textId="556C27ED" w:rsidR="001E35B1" w:rsidRPr="000C696D" w:rsidRDefault="004E47A2" w:rsidP="00035106">
      <w:pPr>
        <w:pStyle w:val="ListParagraph"/>
        <w:numPr>
          <w:ilvl w:val="2"/>
          <w:numId w:val="5"/>
        </w:numPr>
        <w:tabs>
          <w:tab w:val="left" w:pos="851"/>
          <w:tab w:val="left" w:pos="993"/>
        </w:tabs>
        <w:spacing w:after="0" w:line="240" w:lineRule="auto"/>
        <w:ind w:left="0" w:firstLine="426"/>
        <w:jc w:val="both"/>
        <w:rPr>
          <w:rFonts w:ascii="Times New Roman" w:hAnsi="Times New Roman"/>
          <w:sz w:val="24"/>
          <w:szCs w:val="24"/>
        </w:rPr>
      </w:pPr>
      <w:r w:rsidRPr="000C696D">
        <w:rPr>
          <w:rFonts w:ascii="Times New Roman" w:hAnsi="Times New Roman"/>
          <w:sz w:val="24"/>
          <w:szCs w:val="24"/>
          <w:lang w:val="en-US"/>
        </w:rPr>
        <w:t xml:space="preserve">not to transfer </w:t>
      </w:r>
      <w:r>
        <w:rPr>
          <w:rFonts w:ascii="Times New Roman" w:hAnsi="Times New Roman"/>
          <w:sz w:val="24"/>
          <w:szCs w:val="24"/>
          <w:lang w:val="en-US"/>
        </w:rPr>
        <w:t>its</w:t>
      </w:r>
      <w:r w:rsidRPr="000C696D">
        <w:rPr>
          <w:rFonts w:ascii="Times New Roman" w:hAnsi="Times New Roman"/>
          <w:sz w:val="24"/>
          <w:szCs w:val="24"/>
          <w:lang w:val="en-US"/>
        </w:rPr>
        <w:t xml:space="preserve"> rights and obligations under the Contract without prior written consent of Invega;</w:t>
      </w:r>
    </w:p>
    <w:p w14:paraId="0BFE41F3" w14:textId="03B668B2" w:rsidR="001E35B1" w:rsidRDefault="004E47A2" w:rsidP="00035106">
      <w:pPr>
        <w:pStyle w:val="ListParagraph"/>
        <w:numPr>
          <w:ilvl w:val="2"/>
          <w:numId w:val="5"/>
        </w:numPr>
        <w:tabs>
          <w:tab w:val="left" w:pos="851"/>
          <w:tab w:val="left" w:pos="993"/>
        </w:tabs>
        <w:spacing w:after="0"/>
        <w:ind w:left="0" w:firstLine="425"/>
        <w:jc w:val="both"/>
        <w:rPr>
          <w:rFonts w:ascii="Times New Roman" w:hAnsi="Times New Roman"/>
          <w:sz w:val="24"/>
          <w:szCs w:val="24"/>
        </w:rPr>
      </w:pPr>
      <w:r w:rsidRPr="000C696D">
        <w:rPr>
          <w:rFonts w:ascii="Times New Roman" w:hAnsi="Times New Roman"/>
          <w:sz w:val="24"/>
          <w:szCs w:val="24"/>
          <w:lang w:val="en-US"/>
        </w:rPr>
        <w:t xml:space="preserve">provide additional information upon a separate request from Invega. Invega </w:t>
      </w:r>
      <w:r>
        <w:rPr>
          <w:rFonts w:ascii="Times New Roman" w:hAnsi="Times New Roman"/>
          <w:sz w:val="24"/>
          <w:szCs w:val="24"/>
          <w:lang w:val="en-US"/>
        </w:rPr>
        <w:t>shall not be</w:t>
      </w:r>
      <w:r w:rsidRPr="000C696D">
        <w:rPr>
          <w:rFonts w:ascii="Times New Roman" w:hAnsi="Times New Roman"/>
          <w:sz w:val="24"/>
          <w:szCs w:val="24"/>
          <w:lang w:val="en-US"/>
        </w:rPr>
        <w:t xml:space="preserve"> obliged to constantly monitor and verify that the </w:t>
      </w:r>
      <w:r>
        <w:rPr>
          <w:rFonts w:ascii="Times New Roman" w:hAnsi="Times New Roman"/>
          <w:sz w:val="24"/>
          <w:szCs w:val="24"/>
          <w:lang w:val="en-US"/>
        </w:rPr>
        <w:t>I</w:t>
      </w:r>
      <w:r w:rsidRPr="000C696D">
        <w:rPr>
          <w:rFonts w:ascii="Times New Roman" w:hAnsi="Times New Roman"/>
          <w:sz w:val="24"/>
          <w:szCs w:val="24"/>
          <w:lang w:val="en-US"/>
        </w:rPr>
        <w:t xml:space="preserve">nsurance </w:t>
      </w:r>
      <w:r w:rsidR="003D2BF0">
        <w:rPr>
          <w:rFonts w:ascii="Times New Roman" w:hAnsi="Times New Roman"/>
          <w:sz w:val="24"/>
          <w:szCs w:val="24"/>
          <w:lang w:val="en-US"/>
        </w:rPr>
        <w:t>c</w:t>
      </w:r>
      <w:r w:rsidRPr="000C696D">
        <w:rPr>
          <w:rFonts w:ascii="Times New Roman" w:hAnsi="Times New Roman"/>
          <w:sz w:val="24"/>
          <w:szCs w:val="24"/>
          <w:lang w:val="en-US"/>
        </w:rPr>
        <w:t xml:space="preserve">ontract included in the </w:t>
      </w:r>
      <w:r>
        <w:rPr>
          <w:rFonts w:ascii="Times New Roman" w:hAnsi="Times New Roman"/>
          <w:sz w:val="24"/>
          <w:szCs w:val="24"/>
          <w:lang w:val="en-US"/>
        </w:rPr>
        <w:t>I</w:t>
      </w:r>
      <w:r w:rsidRPr="000C696D">
        <w:rPr>
          <w:rFonts w:ascii="Times New Roman" w:hAnsi="Times New Roman"/>
          <w:sz w:val="24"/>
          <w:szCs w:val="24"/>
          <w:lang w:val="en-US"/>
        </w:rPr>
        <w:t xml:space="preserve">nsurance </w:t>
      </w:r>
      <w:r w:rsidR="003D2BF0">
        <w:rPr>
          <w:rFonts w:ascii="Times New Roman" w:hAnsi="Times New Roman"/>
          <w:sz w:val="24"/>
          <w:szCs w:val="24"/>
          <w:lang w:val="en-US"/>
        </w:rPr>
        <w:t>p</w:t>
      </w:r>
      <w:r w:rsidRPr="000C696D">
        <w:rPr>
          <w:rFonts w:ascii="Times New Roman" w:hAnsi="Times New Roman"/>
          <w:sz w:val="24"/>
          <w:szCs w:val="24"/>
          <w:lang w:val="en-US"/>
        </w:rPr>
        <w:t xml:space="preserve">ortfolio </w:t>
      </w:r>
      <w:r>
        <w:rPr>
          <w:rFonts w:ascii="Times New Roman" w:hAnsi="Times New Roman"/>
          <w:sz w:val="24"/>
          <w:szCs w:val="24"/>
          <w:lang w:val="en-US"/>
        </w:rPr>
        <w:t xml:space="preserve">should </w:t>
      </w:r>
      <w:r w:rsidRPr="000C696D">
        <w:rPr>
          <w:rFonts w:ascii="Times New Roman" w:hAnsi="Times New Roman"/>
          <w:sz w:val="24"/>
          <w:szCs w:val="24"/>
          <w:lang w:val="en-US"/>
        </w:rPr>
        <w:t xml:space="preserve">meet the eligibility conditions, but Invega may at any time request that the </w:t>
      </w:r>
      <w:r w:rsidR="000017EF">
        <w:rPr>
          <w:rFonts w:ascii="Times New Roman" w:hAnsi="Times New Roman"/>
          <w:sz w:val="24"/>
          <w:szCs w:val="24"/>
          <w:lang w:val="en-US"/>
        </w:rPr>
        <w:t>I</w:t>
      </w:r>
      <w:r w:rsidRPr="000C696D">
        <w:rPr>
          <w:rFonts w:ascii="Times New Roman" w:hAnsi="Times New Roman"/>
          <w:sz w:val="24"/>
          <w:szCs w:val="24"/>
          <w:lang w:val="en-US"/>
        </w:rPr>
        <w:t xml:space="preserve">nsurer provide, free of charge, information that would allow Invega to check whether </w:t>
      </w:r>
      <w:r>
        <w:rPr>
          <w:rFonts w:ascii="Times New Roman" w:hAnsi="Times New Roman"/>
          <w:sz w:val="24"/>
          <w:szCs w:val="24"/>
          <w:lang w:val="en-US"/>
        </w:rPr>
        <w:t>I</w:t>
      </w:r>
      <w:r w:rsidRPr="000C696D">
        <w:rPr>
          <w:rFonts w:ascii="Times New Roman" w:hAnsi="Times New Roman"/>
          <w:sz w:val="24"/>
          <w:szCs w:val="24"/>
          <w:lang w:val="en-US"/>
        </w:rPr>
        <w:t xml:space="preserve">nsurance </w:t>
      </w:r>
      <w:r w:rsidR="003D2BF0">
        <w:rPr>
          <w:rFonts w:ascii="Times New Roman" w:hAnsi="Times New Roman"/>
          <w:sz w:val="24"/>
          <w:szCs w:val="24"/>
          <w:lang w:val="en-US"/>
        </w:rPr>
        <w:t>c</w:t>
      </w:r>
      <w:r w:rsidRPr="000C696D">
        <w:rPr>
          <w:rFonts w:ascii="Times New Roman" w:hAnsi="Times New Roman"/>
          <w:sz w:val="24"/>
          <w:szCs w:val="24"/>
          <w:lang w:val="en-US"/>
        </w:rPr>
        <w:t xml:space="preserve">ontracts meet the eligibility conditions and </w:t>
      </w:r>
      <w:r>
        <w:rPr>
          <w:rFonts w:ascii="Times New Roman" w:hAnsi="Times New Roman"/>
          <w:sz w:val="24"/>
          <w:szCs w:val="24"/>
          <w:lang w:val="en-US"/>
        </w:rPr>
        <w:t>their</w:t>
      </w:r>
      <w:r w:rsidRPr="000C696D">
        <w:rPr>
          <w:rFonts w:ascii="Times New Roman" w:hAnsi="Times New Roman"/>
          <w:sz w:val="24"/>
          <w:szCs w:val="24"/>
          <w:lang w:val="en-US"/>
        </w:rPr>
        <w:t xml:space="preserve"> inclusion in the Insurance </w:t>
      </w:r>
      <w:r w:rsidR="003D2BF0">
        <w:rPr>
          <w:rFonts w:ascii="Times New Roman" w:hAnsi="Times New Roman"/>
          <w:sz w:val="24"/>
          <w:szCs w:val="24"/>
          <w:lang w:val="en-US"/>
        </w:rPr>
        <w:t>p</w:t>
      </w:r>
      <w:r w:rsidRPr="000C696D">
        <w:rPr>
          <w:rFonts w:ascii="Times New Roman" w:hAnsi="Times New Roman"/>
          <w:sz w:val="24"/>
          <w:szCs w:val="24"/>
          <w:lang w:val="en-US"/>
        </w:rPr>
        <w:t xml:space="preserve">ortfolio </w:t>
      </w:r>
      <w:r>
        <w:rPr>
          <w:rFonts w:ascii="Times New Roman" w:hAnsi="Times New Roman"/>
          <w:sz w:val="24"/>
          <w:szCs w:val="24"/>
          <w:lang w:val="en-US"/>
        </w:rPr>
        <w:t>is not in breach of</w:t>
      </w:r>
      <w:r w:rsidRPr="000C696D">
        <w:rPr>
          <w:rFonts w:ascii="Times New Roman" w:hAnsi="Times New Roman"/>
          <w:sz w:val="24"/>
          <w:szCs w:val="24"/>
          <w:lang w:val="en-US"/>
        </w:rPr>
        <w:t xml:space="preserve"> the terms of the </w:t>
      </w:r>
      <w:r>
        <w:rPr>
          <w:rFonts w:ascii="Times New Roman" w:hAnsi="Times New Roman"/>
          <w:sz w:val="24"/>
          <w:szCs w:val="24"/>
          <w:lang w:val="en-US"/>
        </w:rPr>
        <w:t>C</w:t>
      </w:r>
      <w:r w:rsidRPr="000C696D">
        <w:rPr>
          <w:rFonts w:ascii="Times New Roman" w:hAnsi="Times New Roman"/>
          <w:sz w:val="24"/>
          <w:szCs w:val="24"/>
          <w:lang w:val="en-US"/>
        </w:rPr>
        <w:t xml:space="preserve">ontract. The Insurer must provide Invega with the information reasonably required by </w:t>
      </w:r>
      <w:r>
        <w:rPr>
          <w:rFonts w:ascii="Times New Roman" w:hAnsi="Times New Roman"/>
          <w:sz w:val="24"/>
          <w:szCs w:val="24"/>
          <w:lang w:val="en-US"/>
        </w:rPr>
        <w:t>it</w:t>
      </w:r>
      <w:r w:rsidRPr="000C696D">
        <w:rPr>
          <w:rFonts w:ascii="Times New Roman" w:hAnsi="Times New Roman"/>
          <w:sz w:val="24"/>
          <w:szCs w:val="24"/>
          <w:lang w:val="en-US"/>
        </w:rPr>
        <w:t>;</w:t>
      </w:r>
    </w:p>
    <w:p w14:paraId="3434B67C" w14:textId="6CD20C26" w:rsidR="003F20CB" w:rsidRDefault="004E47A2" w:rsidP="00035106">
      <w:pPr>
        <w:pStyle w:val="ListParagraph"/>
        <w:numPr>
          <w:ilvl w:val="2"/>
          <w:numId w:val="5"/>
        </w:numPr>
        <w:tabs>
          <w:tab w:val="left" w:pos="851"/>
          <w:tab w:val="left" w:pos="993"/>
        </w:tabs>
        <w:spacing w:after="0"/>
        <w:ind w:left="0" w:firstLine="425"/>
        <w:jc w:val="both"/>
        <w:rPr>
          <w:rFonts w:ascii="Times New Roman" w:hAnsi="Times New Roman"/>
          <w:sz w:val="24"/>
          <w:szCs w:val="24"/>
        </w:rPr>
      </w:pPr>
      <w:r>
        <w:rPr>
          <w:rFonts w:ascii="Times New Roman" w:hAnsi="Times New Roman"/>
          <w:sz w:val="24"/>
          <w:szCs w:val="24"/>
          <w:lang w:val="en-US"/>
        </w:rPr>
        <w:t xml:space="preserve"> The obligation of the Insurer to ensure that, during the performance of the Contract, appropriate technical and organizational </w:t>
      </w:r>
      <w:r w:rsidR="003F2A4B">
        <w:rPr>
          <w:rFonts w:ascii="Times New Roman" w:hAnsi="Times New Roman"/>
          <w:sz w:val="24"/>
          <w:szCs w:val="24"/>
          <w:lang w:val="en-US"/>
        </w:rPr>
        <w:t>instrument</w:t>
      </w:r>
      <w:r>
        <w:rPr>
          <w:rFonts w:ascii="Times New Roman" w:hAnsi="Times New Roman"/>
          <w:sz w:val="24"/>
          <w:szCs w:val="24"/>
          <w:lang w:val="en-US"/>
        </w:rPr>
        <w:t>s for the processing of personal data will be implemented, the processing of personal data will be carried out in line with the requirements of legal protection of personal data set out in the Regulation (EU) 2016/679 of the European Parliament and of the Council of 27 April 2016 on the Protection of Natural Persons with Regard to the Processing of Personal Data and on the Free Movement of Such Data  and with those of the Republic of Lithuania.</w:t>
      </w:r>
    </w:p>
    <w:p w14:paraId="65497728" w14:textId="77777777" w:rsidR="0058182C" w:rsidRPr="005B42BF" w:rsidRDefault="004E47A2" w:rsidP="00035106">
      <w:pPr>
        <w:pStyle w:val="ListParagraph"/>
        <w:numPr>
          <w:ilvl w:val="2"/>
          <w:numId w:val="5"/>
        </w:numPr>
        <w:tabs>
          <w:tab w:val="left" w:pos="851"/>
          <w:tab w:val="left" w:pos="993"/>
        </w:tabs>
        <w:spacing w:after="0"/>
        <w:ind w:left="0" w:firstLine="425"/>
        <w:jc w:val="both"/>
        <w:rPr>
          <w:rFonts w:ascii="Times New Roman" w:hAnsi="Times New Roman"/>
          <w:sz w:val="24"/>
          <w:szCs w:val="24"/>
        </w:rPr>
      </w:pPr>
      <w:r>
        <w:rPr>
          <w:rFonts w:ascii="Times New Roman" w:hAnsi="Times New Roman"/>
          <w:sz w:val="24"/>
          <w:szCs w:val="24"/>
          <w:lang w:val="en-US"/>
        </w:rPr>
        <w:t xml:space="preserve"> The obligation of the Insurer to inform data subjects about the subject matter, duration, nature and purposes of data processing, types of data and categories of data subjects, purposes and grounds of data transfer to Invega; the obligation of the Insurer to ensure that its employees processing personal data comply with the obligation of confidentiality; </w:t>
      </w:r>
    </w:p>
    <w:p w14:paraId="4E6D17A4" w14:textId="5D83EE87" w:rsidR="001E35B1" w:rsidRPr="000C696D" w:rsidRDefault="004E47A2" w:rsidP="00035106">
      <w:pPr>
        <w:pStyle w:val="ListParagraph"/>
        <w:numPr>
          <w:ilvl w:val="1"/>
          <w:numId w:val="5"/>
        </w:numPr>
        <w:tabs>
          <w:tab w:val="left" w:pos="851"/>
          <w:tab w:val="left" w:pos="1701"/>
        </w:tabs>
        <w:spacing w:after="0"/>
        <w:ind w:left="0" w:firstLine="425"/>
        <w:jc w:val="both"/>
        <w:rPr>
          <w:rFonts w:ascii="Times New Roman" w:hAnsi="Times New Roman"/>
          <w:sz w:val="24"/>
          <w:szCs w:val="24"/>
        </w:rPr>
      </w:pPr>
      <w:r w:rsidRPr="000C696D">
        <w:rPr>
          <w:rFonts w:ascii="Times New Roman" w:hAnsi="Times New Roman"/>
          <w:sz w:val="24"/>
          <w:szCs w:val="24"/>
          <w:lang w:val="en-US"/>
        </w:rPr>
        <w:t xml:space="preserve">In </w:t>
      </w:r>
      <w:r>
        <w:rPr>
          <w:rFonts w:ascii="Times New Roman" w:hAnsi="Times New Roman"/>
          <w:sz w:val="24"/>
          <w:szCs w:val="24"/>
          <w:lang w:val="en-US"/>
        </w:rPr>
        <w:t>its</w:t>
      </w:r>
      <w:r w:rsidRPr="000C696D">
        <w:rPr>
          <w:rFonts w:ascii="Times New Roman" w:hAnsi="Times New Roman"/>
          <w:sz w:val="24"/>
          <w:szCs w:val="24"/>
          <w:lang w:val="en-US"/>
        </w:rPr>
        <w:t xml:space="preserve"> contracts concluded with policyholders, the Insurer must provide, </w:t>
      </w:r>
      <w:r w:rsidRPr="000C696D">
        <w:rPr>
          <w:rFonts w:ascii="Times New Roman" w:hAnsi="Times New Roman"/>
          <w:i/>
          <w:sz w:val="24"/>
          <w:szCs w:val="24"/>
          <w:lang w:val="en-US"/>
        </w:rPr>
        <w:t>inter alia</w:t>
      </w:r>
      <w:r w:rsidRPr="000C696D">
        <w:rPr>
          <w:rFonts w:ascii="Times New Roman" w:hAnsi="Times New Roman"/>
          <w:sz w:val="24"/>
          <w:szCs w:val="24"/>
          <w:lang w:val="en-US"/>
        </w:rPr>
        <w:t>, that:</w:t>
      </w:r>
    </w:p>
    <w:p w14:paraId="4A30CDD0" w14:textId="1B3AB66A" w:rsidR="001E35B1" w:rsidRPr="000578FE" w:rsidRDefault="004E47A2" w:rsidP="00CF6DE5">
      <w:pPr>
        <w:pStyle w:val="ListParagraph"/>
        <w:numPr>
          <w:ilvl w:val="2"/>
          <w:numId w:val="5"/>
        </w:numPr>
        <w:tabs>
          <w:tab w:val="left" w:pos="851"/>
          <w:tab w:val="left" w:pos="993"/>
          <w:tab w:val="left" w:pos="1843"/>
        </w:tabs>
        <w:spacing w:after="0"/>
        <w:ind w:left="0" w:firstLine="425"/>
        <w:jc w:val="both"/>
        <w:rPr>
          <w:rFonts w:ascii="Times New Roman" w:hAnsi="Times New Roman"/>
          <w:sz w:val="24"/>
          <w:szCs w:val="24"/>
        </w:rPr>
      </w:pPr>
      <w:r w:rsidRPr="000578FE">
        <w:rPr>
          <w:rFonts w:ascii="Times New Roman" w:hAnsi="Times New Roman"/>
          <w:sz w:val="24"/>
          <w:szCs w:val="24"/>
          <w:lang w:val="en-US"/>
        </w:rPr>
        <w:t xml:space="preserve"> The </w:t>
      </w:r>
      <w:r>
        <w:rPr>
          <w:rFonts w:ascii="Times New Roman" w:hAnsi="Times New Roman"/>
          <w:sz w:val="24"/>
          <w:szCs w:val="24"/>
          <w:lang w:val="en-US"/>
        </w:rPr>
        <w:t>P</w:t>
      </w:r>
      <w:r w:rsidRPr="000578FE">
        <w:rPr>
          <w:rFonts w:ascii="Times New Roman" w:hAnsi="Times New Roman"/>
          <w:sz w:val="24"/>
          <w:szCs w:val="24"/>
          <w:lang w:val="en-US"/>
        </w:rPr>
        <w:t xml:space="preserve">olicyholder is informed about the </w:t>
      </w:r>
      <w:r w:rsidR="00BE4374" w:rsidRPr="00282A98">
        <w:rPr>
          <w:rFonts w:ascii="Times New Roman" w:hAnsi="Times New Roman"/>
          <w:sz w:val="24"/>
          <w:szCs w:val="24"/>
          <w:lang w:val="en-US"/>
        </w:rPr>
        <w:t xml:space="preserve">aid </w:t>
      </w:r>
      <w:r w:rsidRPr="00282A98">
        <w:rPr>
          <w:rFonts w:ascii="Times New Roman" w:hAnsi="Times New Roman"/>
          <w:sz w:val="24"/>
          <w:szCs w:val="24"/>
          <w:lang w:val="en-US"/>
        </w:rPr>
        <w:t>provided</w:t>
      </w:r>
      <w:r w:rsidRPr="000578FE">
        <w:rPr>
          <w:rFonts w:ascii="Times New Roman" w:hAnsi="Times New Roman"/>
          <w:sz w:val="24"/>
          <w:szCs w:val="24"/>
          <w:lang w:val="en-US"/>
        </w:rPr>
        <w:t xml:space="preserve"> in accordance with the Communication;</w:t>
      </w:r>
    </w:p>
    <w:p w14:paraId="4D54793B" w14:textId="790C3021" w:rsidR="001E35B1" w:rsidRPr="000C696D" w:rsidRDefault="004E47A2" w:rsidP="00035106">
      <w:pPr>
        <w:pStyle w:val="ListParagraph"/>
        <w:numPr>
          <w:ilvl w:val="2"/>
          <w:numId w:val="5"/>
        </w:numPr>
        <w:tabs>
          <w:tab w:val="left" w:pos="851"/>
          <w:tab w:val="left" w:pos="993"/>
          <w:tab w:val="left" w:pos="1843"/>
        </w:tabs>
        <w:spacing w:after="0"/>
        <w:ind w:left="0" w:firstLine="425"/>
        <w:jc w:val="both"/>
        <w:rPr>
          <w:rFonts w:ascii="Times New Roman" w:hAnsi="Times New Roman"/>
          <w:sz w:val="24"/>
          <w:szCs w:val="24"/>
        </w:rPr>
      </w:pPr>
      <w:r>
        <w:rPr>
          <w:rFonts w:ascii="Times New Roman" w:hAnsi="Times New Roman"/>
          <w:sz w:val="24"/>
          <w:szCs w:val="24"/>
          <w:lang w:val="en-US"/>
        </w:rPr>
        <w:lastRenderedPageBreak/>
        <w:t>O</w:t>
      </w:r>
      <w:r w:rsidRPr="000C696D">
        <w:rPr>
          <w:rFonts w:ascii="Times New Roman" w:hAnsi="Times New Roman"/>
          <w:sz w:val="24"/>
          <w:szCs w:val="24"/>
          <w:lang w:val="en-US"/>
        </w:rPr>
        <w:t xml:space="preserve">ther obligations arising from the conditions for the implementation of the TCIPG </w:t>
      </w:r>
      <w:r w:rsidR="003F2A4B">
        <w:rPr>
          <w:rFonts w:ascii="Times New Roman" w:hAnsi="Times New Roman"/>
          <w:sz w:val="24"/>
          <w:szCs w:val="24"/>
          <w:lang w:val="en-US"/>
        </w:rPr>
        <w:t>instrument</w:t>
      </w:r>
      <w:r w:rsidRPr="000C696D">
        <w:rPr>
          <w:rFonts w:ascii="Times New Roman" w:hAnsi="Times New Roman"/>
          <w:sz w:val="24"/>
          <w:szCs w:val="24"/>
          <w:lang w:val="en-US"/>
        </w:rPr>
        <w:t xml:space="preserve"> set out in Annex 1 to the Description (</w:t>
      </w:r>
      <w:r w:rsidR="00BE4374">
        <w:rPr>
          <w:rFonts w:ascii="Times New Roman" w:hAnsi="Times New Roman"/>
          <w:sz w:val="24"/>
          <w:szCs w:val="24"/>
          <w:lang w:val="en-US"/>
        </w:rPr>
        <w:t>Main</w:t>
      </w:r>
      <w:r w:rsidR="00BE4374" w:rsidRPr="000C696D">
        <w:rPr>
          <w:rFonts w:ascii="Times New Roman" w:hAnsi="Times New Roman"/>
          <w:sz w:val="24"/>
          <w:szCs w:val="24"/>
          <w:lang w:val="en-US"/>
        </w:rPr>
        <w:t xml:space="preserve"> </w:t>
      </w:r>
      <w:r w:rsidRPr="000C696D">
        <w:rPr>
          <w:rFonts w:ascii="Times New Roman" w:hAnsi="Times New Roman"/>
          <w:sz w:val="24"/>
          <w:szCs w:val="24"/>
          <w:lang w:val="en-US"/>
        </w:rPr>
        <w:t>Conditions).</w:t>
      </w:r>
    </w:p>
    <w:p w14:paraId="3CBBB004" w14:textId="77777777" w:rsidR="001E35B1" w:rsidRPr="000C696D" w:rsidRDefault="004E47A2" w:rsidP="00035106">
      <w:pPr>
        <w:pStyle w:val="ListParagraph"/>
        <w:numPr>
          <w:ilvl w:val="1"/>
          <w:numId w:val="5"/>
        </w:numPr>
        <w:tabs>
          <w:tab w:val="left" w:pos="851"/>
        </w:tabs>
        <w:spacing w:after="0"/>
        <w:ind w:left="0" w:firstLine="425"/>
        <w:jc w:val="both"/>
        <w:rPr>
          <w:rFonts w:ascii="Times New Roman" w:hAnsi="Times New Roman"/>
          <w:sz w:val="24"/>
          <w:szCs w:val="24"/>
        </w:rPr>
      </w:pPr>
      <w:r w:rsidRPr="000C696D">
        <w:rPr>
          <w:rFonts w:ascii="Times New Roman" w:hAnsi="Times New Roman"/>
          <w:sz w:val="24"/>
          <w:szCs w:val="24"/>
          <w:lang w:val="en-US"/>
        </w:rPr>
        <w:t>Disputes arising between the parties to the Contract shall be resolved in accordance with the procedure established by the laws of the Republic of Lithuania.</w:t>
      </w:r>
    </w:p>
    <w:p w14:paraId="075C4C4B" w14:textId="0515ED37" w:rsidR="001E35B1" w:rsidRPr="000C696D" w:rsidRDefault="004E47A2" w:rsidP="00035106">
      <w:pPr>
        <w:pStyle w:val="ListParagraph"/>
        <w:numPr>
          <w:ilvl w:val="1"/>
          <w:numId w:val="5"/>
        </w:numPr>
        <w:tabs>
          <w:tab w:val="left" w:pos="851"/>
        </w:tabs>
        <w:spacing w:after="0"/>
        <w:ind w:left="0" w:firstLine="425"/>
        <w:jc w:val="both"/>
        <w:rPr>
          <w:rFonts w:ascii="Times New Roman" w:hAnsi="Times New Roman"/>
          <w:sz w:val="24"/>
          <w:szCs w:val="24"/>
        </w:rPr>
      </w:pPr>
      <w:r w:rsidRPr="000C696D">
        <w:rPr>
          <w:rFonts w:ascii="Times New Roman" w:hAnsi="Times New Roman"/>
          <w:sz w:val="24"/>
          <w:szCs w:val="24"/>
          <w:lang w:val="en-US"/>
        </w:rPr>
        <w:t xml:space="preserve">If one of the parties to the Contract fails to perform its contractual obligations and this constitutes a material breach of the Contract, the other party may unilaterally terminate the Contract by notifying the other party of justified reasons in writing no later than 60 (sixty) calendar days in advance. The cases and conditions of contract termination </w:t>
      </w:r>
      <w:r>
        <w:rPr>
          <w:rFonts w:ascii="Times New Roman" w:hAnsi="Times New Roman"/>
          <w:sz w:val="24"/>
          <w:szCs w:val="24"/>
          <w:lang w:val="en-US"/>
        </w:rPr>
        <w:t xml:space="preserve">shall </w:t>
      </w:r>
      <w:r w:rsidRPr="000C696D">
        <w:rPr>
          <w:rFonts w:ascii="Times New Roman" w:hAnsi="Times New Roman"/>
          <w:sz w:val="24"/>
          <w:szCs w:val="24"/>
          <w:lang w:val="en-US"/>
        </w:rPr>
        <w:t>be determined in the Contract.</w:t>
      </w:r>
    </w:p>
    <w:p w14:paraId="7AE78D9E" w14:textId="2F986BE4" w:rsidR="001E35B1" w:rsidRPr="000C696D" w:rsidRDefault="004E47A2" w:rsidP="00035106">
      <w:pPr>
        <w:pStyle w:val="ListParagraph"/>
        <w:numPr>
          <w:ilvl w:val="1"/>
          <w:numId w:val="5"/>
        </w:numPr>
        <w:tabs>
          <w:tab w:val="left" w:pos="851"/>
        </w:tabs>
        <w:spacing w:after="0"/>
        <w:ind w:left="0" w:firstLine="425"/>
        <w:jc w:val="both"/>
        <w:rPr>
          <w:rFonts w:ascii="Times New Roman" w:hAnsi="Times New Roman"/>
          <w:sz w:val="24"/>
          <w:szCs w:val="24"/>
        </w:rPr>
      </w:pPr>
      <w:r w:rsidRPr="000C696D">
        <w:rPr>
          <w:rFonts w:ascii="Times New Roman" w:hAnsi="Times New Roman"/>
          <w:sz w:val="24"/>
          <w:szCs w:val="24"/>
          <w:lang w:val="en-US"/>
        </w:rPr>
        <w:t xml:space="preserve">The following changes may be made during the </w:t>
      </w:r>
      <w:r>
        <w:rPr>
          <w:rFonts w:ascii="Times New Roman" w:hAnsi="Times New Roman"/>
          <w:sz w:val="24"/>
          <w:szCs w:val="24"/>
          <w:lang w:val="en-US"/>
        </w:rPr>
        <w:t>duration</w:t>
      </w:r>
      <w:r w:rsidRPr="000C696D">
        <w:rPr>
          <w:rFonts w:ascii="Times New Roman" w:hAnsi="Times New Roman"/>
          <w:sz w:val="24"/>
          <w:szCs w:val="24"/>
          <w:lang w:val="en-US"/>
        </w:rPr>
        <w:t xml:space="preserve"> of the </w:t>
      </w:r>
      <w:r>
        <w:rPr>
          <w:rFonts w:ascii="Times New Roman" w:hAnsi="Times New Roman"/>
          <w:sz w:val="24"/>
          <w:szCs w:val="24"/>
          <w:lang w:val="en-US"/>
        </w:rPr>
        <w:t>C</w:t>
      </w:r>
      <w:r w:rsidRPr="000C696D">
        <w:rPr>
          <w:rFonts w:ascii="Times New Roman" w:hAnsi="Times New Roman"/>
          <w:sz w:val="24"/>
          <w:szCs w:val="24"/>
          <w:lang w:val="en-US"/>
        </w:rPr>
        <w:t xml:space="preserve">ontract: </w:t>
      </w:r>
    </w:p>
    <w:p w14:paraId="2030E554" w14:textId="639F48C5" w:rsidR="00F45D61" w:rsidRDefault="004E47A2" w:rsidP="00035106">
      <w:pPr>
        <w:pStyle w:val="ListParagraph"/>
        <w:numPr>
          <w:ilvl w:val="2"/>
          <w:numId w:val="5"/>
        </w:numPr>
        <w:tabs>
          <w:tab w:val="left" w:pos="851"/>
          <w:tab w:val="left" w:pos="1134"/>
          <w:tab w:val="left" w:pos="1418"/>
        </w:tabs>
        <w:spacing w:after="0"/>
        <w:ind w:left="0" w:firstLine="425"/>
        <w:jc w:val="both"/>
        <w:rPr>
          <w:rFonts w:ascii="Times New Roman" w:hAnsi="Times New Roman"/>
          <w:sz w:val="24"/>
          <w:szCs w:val="24"/>
        </w:rPr>
      </w:pPr>
      <w:r>
        <w:rPr>
          <w:rFonts w:ascii="Times New Roman" w:hAnsi="Times New Roman"/>
          <w:sz w:val="24"/>
          <w:szCs w:val="24"/>
          <w:lang w:val="en-US"/>
        </w:rPr>
        <w:t xml:space="preserve">those related to the amendment of the conditions of the TCIPG </w:t>
      </w:r>
      <w:r w:rsidR="003F2A4B">
        <w:rPr>
          <w:rFonts w:ascii="Times New Roman" w:hAnsi="Times New Roman"/>
          <w:sz w:val="24"/>
          <w:szCs w:val="24"/>
          <w:lang w:val="en-US"/>
        </w:rPr>
        <w:t>instrument</w:t>
      </w:r>
      <w:r>
        <w:rPr>
          <w:rFonts w:ascii="Times New Roman" w:hAnsi="Times New Roman"/>
          <w:sz w:val="24"/>
          <w:szCs w:val="24"/>
          <w:lang w:val="en-US"/>
        </w:rPr>
        <w:t xml:space="preserve"> specified in Annex 1 to the Description;</w:t>
      </w:r>
    </w:p>
    <w:p w14:paraId="0EDA95F8" w14:textId="70B79770" w:rsidR="001E35B1" w:rsidRPr="000C696D" w:rsidRDefault="004E47A2" w:rsidP="00035106">
      <w:pPr>
        <w:pStyle w:val="ListParagraph"/>
        <w:numPr>
          <w:ilvl w:val="2"/>
          <w:numId w:val="5"/>
        </w:numPr>
        <w:tabs>
          <w:tab w:val="left" w:pos="851"/>
          <w:tab w:val="left" w:pos="1134"/>
          <w:tab w:val="left" w:pos="1418"/>
        </w:tabs>
        <w:spacing w:after="0"/>
        <w:ind w:left="0" w:firstLine="425"/>
        <w:jc w:val="both"/>
        <w:rPr>
          <w:rFonts w:ascii="Times New Roman" w:hAnsi="Times New Roman"/>
          <w:sz w:val="24"/>
          <w:szCs w:val="24"/>
        </w:rPr>
      </w:pPr>
      <w:r w:rsidRPr="000C696D">
        <w:rPr>
          <w:rFonts w:ascii="Times New Roman" w:hAnsi="Times New Roman"/>
          <w:sz w:val="24"/>
          <w:szCs w:val="24"/>
          <w:lang w:val="en-US"/>
        </w:rPr>
        <w:t xml:space="preserve">those related to amendments to specific national or EU legislation and amendments to their interpretations governing the implementation of the TCIPG </w:t>
      </w:r>
      <w:r w:rsidR="003F2A4B">
        <w:rPr>
          <w:rFonts w:ascii="Times New Roman" w:hAnsi="Times New Roman"/>
          <w:sz w:val="24"/>
          <w:szCs w:val="24"/>
          <w:lang w:val="en-US"/>
        </w:rPr>
        <w:t>instrument</w:t>
      </w:r>
      <w:r w:rsidRPr="000C696D">
        <w:rPr>
          <w:rFonts w:ascii="Times New Roman" w:hAnsi="Times New Roman"/>
          <w:sz w:val="24"/>
          <w:szCs w:val="24"/>
          <w:lang w:val="en-US"/>
        </w:rPr>
        <w:t xml:space="preserve">, recommendations of audit institutions; </w:t>
      </w:r>
    </w:p>
    <w:p w14:paraId="72B80563" w14:textId="3A9EA652" w:rsidR="001E35B1" w:rsidRPr="000C696D" w:rsidRDefault="004E47A2" w:rsidP="008D23EF">
      <w:pPr>
        <w:pStyle w:val="ListParagraph"/>
        <w:numPr>
          <w:ilvl w:val="2"/>
          <w:numId w:val="5"/>
        </w:numPr>
        <w:tabs>
          <w:tab w:val="left" w:pos="851"/>
          <w:tab w:val="left" w:pos="1134"/>
          <w:tab w:val="left" w:pos="1418"/>
        </w:tabs>
        <w:spacing w:after="0"/>
        <w:ind w:left="0" w:firstLine="426"/>
        <w:jc w:val="both"/>
        <w:rPr>
          <w:rFonts w:ascii="Times New Roman" w:hAnsi="Times New Roman"/>
          <w:sz w:val="24"/>
          <w:szCs w:val="24"/>
        </w:rPr>
      </w:pPr>
      <w:r>
        <w:rPr>
          <w:rFonts w:ascii="Times New Roman" w:hAnsi="Times New Roman"/>
          <w:sz w:val="24"/>
          <w:szCs w:val="24"/>
          <w:lang w:val="en-US"/>
        </w:rPr>
        <w:t xml:space="preserve">Changes in the deadlines for the payment of insurance premiums or debts recovered and repaid to the INVEGA </w:t>
      </w:r>
      <w:r w:rsidR="001C575D">
        <w:rPr>
          <w:rFonts w:ascii="Times New Roman" w:hAnsi="Times New Roman"/>
          <w:sz w:val="24"/>
          <w:szCs w:val="24"/>
          <w:lang w:val="en-US"/>
        </w:rPr>
        <w:t>f</w:t>
      </w:r>
      <w:r>
        <w:rPr>
          <w:rFonts w:ascii="Times New Roman" w:hAnsi="Times New Roman"/>
          <w:sz w:val="24"/>
          <w:szCs w:val="24"/>
          <w:lang w:val="en-US"/>
        </w:rPr>
        <w:t>und, changes in the Eligibility Period;</w:t>
      </w:r>
    </w:p>
    <w:p w14:paraId="18B38CF2" w14:textId="6DD2074F" w:rsidR="001E35B1" w:rsidRPr="000C696D" w:rsidRDefault="004E47A2" w:rsidP="008D23EF">
      <w:pPr>
        <w:pStyle w:val="ListParagraph"/>
        <w:numPr>
          <w:ilvl w:val="2"/>
          <w:numId w:val="5"/>
        </w:numPr>
        <w:tabs>
          <w:tab w:val="left" w:pos="851"/>
          <w:tab w:val="left" w:pos="1134"/>
          <w:tab w:val="left" w:pos="1418"/>
        </w:tabs>
        <w:spacing w:after="0"/>
        <w:ind w:left="0" w:firstLine="426"/>
        <w:jc w:val="both"/>
        <w:rPr>
          <w:rFonts w:ascii="Times New Roman" w:hAnsi="Times New Roman"/>
          <w:sz w:val="24"/>
          <w:szCs w:val="24"/>
        </w:rPr>
      </w:pPr>
      <w:r w:rsidRPr="000C696D">
        <w:rPr>
          <w:rFonts w:ascii="Times New Roman" w:hAnsi="Times New Roman"/>
          <w:sz w:val="24"/>
          <w:szCs w:val="24"/>
          <w:lang w:val="en-US"/>
        </w:rPr>
        <w:t xml:space="preserve">Extension of the </w:t>
      </w:r>
      <w:r w:rsidR="00282A98">
        <w:rPr>
          <w:rFonts w:ascii="Times New Roman" w:hAnsi="Times New Roman"/>
          <w:sz w:val="24"/>
          <w:szCs w:val="24"/>
          <w:lang w:val="en-US"/>
        </w:rPr>
        <w:t>C</w:t>
      </w:r>
      <w:r w:rsidRPr="000C696D">
        <w:rPr>
          <w:rFonts w:ascii="Times New Roman" w:hAnsi="Times New Roman"/>
          <w:sz w:val="24"/>
          <w:szCs w:val="24"/>
          <w:lang w:val="en-US"/>
        </w:rPr>
        <w:t xml:space="preserve">ontract if the eligibility period of the TCIPG </w:t>
      </w:r>
      <w:r w:rsidR="003F2A4B">
        <w:rPr>
          <w:rFonts w:ascii="Times New Roman" w:hAnsi="Times New Roman"/>
          <w:sz w:val="24"/>
          <w:szCs w:val="24"/>
          <w:lang w:val="en-US"/>
        </w:rPr>
        <w:t>instrument</w:t>
      </w:r>
      <w:r w:rsidRPr="000C696D">
        <w:rPr>
          <w:rFonts w:ascii="Times New Roman" w:hAnsi="Times New Roman"/>
          <w:sz w:val="24"/>
          <w:szCs w:val="24"/>
          <w:lang w:val="en-US"/>
        </w:rPr>
        <w:t xml:space="preserve"> is extended, the validity of the Communication;</w:t>
      </w:r>
    </w:p>
    <w:p w14:paraId="3B32DBA2" w14:textId="6BC0BF62" w:rsidR="00FA2FDC" w:rsidRPr="000C696D" w:rsidRDefault="004E47A2" w:rsidP="008D23EF">
      <w:pPr>
        <w:pStyle w:val="ListParagraph"/>
        <w:numPr>
          <w:ilvl w:val="2"/>
          <w:numId w:val="5"/>
        </w:numPr>
        <w:tabs>
          <w:tab w:val="left" w:pos="851"/>
          <w:tab w:val="left" w:pos="1134"/>
          <w:tab w:val="left" w:pos="1418"/>
        </w:tabs>
        <w:spacing w:after="0"/>
        <w:ind w:left="0" w:firstLine="426"/>
        <w:jc w:val="both"/>
        <w:rPr>
          <w:rFonts w:ascii="Times New Roman" w:hAnsi="Times New Roman"/>
          <w:sz w:val="24"/>
          <w:szCs w:val="24"/>
        </w:rPr>
      </w:pPr>
      <w:r>
        <w:rPr>
          <w:rFonts w:ascii="Times New Roman" w:hAnsi="Times New Roman"/>
          <w:sz w:val="24"/>
          <w:szCs w:val="24"/>
          <w:lang w:val="en-US"/>
        </w:rPr>
        <w:t>Changes in the forms of reports provided by the Insurer and the procedure for the submission thereof.</w:t>
      </w:r>
    </w:p>
    <w:p w14:paraId="2920A6C7" w14:textId="3E4FCE09" w:rsidR="001E35B1" w:rsidRPr="000C696D" w:rsidRDefault="004E47A2" w:rsidP="008D23EF">
      <w:pPr>
        <w:pStyle w:val="ListParagraph"/>
        <w:numPr>
          <w:ilvl w:val="1"/>
          <w:numId w:val="5"/>
        </w:numPr>
        <w:tabs>
          <w:tab w:val="left" w:pos="993"/>
          <w:tab w:val="left" w:pos="1418"/>
        </w:tabs>
        <w:spacing w:after="0"/>
        <w:ind w:left="0" w:firstLine="360"/>
        <w:jc w:val="both"/>
        <w:rPr>
          <w:rFonts w:ascii="Times New Roman" w:hAnsi="Times New Roman"/>
          <w:sz w:val="24"/>
          <w:szCs w:val="24"/>
        </w:rPr>
      </w:pPr>
      <w:r>
        <w:rPr>
          <w:rFonts w:ascii="Times New Roman" w:hAnsi="Times New Roman"/>
          <w:sz w:val="24"/>
          <w:szCs w:val="24"/>
          <w:lang w:val="en-US"/>
        </w:rPr>
        <w:t xml:space="preserve">Other amendments to the Contract shall be made in accordance with the provisions of the Civil Code of the Republic of Lithuania and only if they are not contrary to the TCIPG </w:t>
      </w:r>
      <w:r w:rsidR="003F2A4B">
        <w:rPr>
          <w:rFonts w:ascii="Times New Roman" w:hAnsi="Times New Roman"/>
          <w:sz w:val="24"/>
          <w:szCs w:val="24"/>
          <w:lang w:val="en-US"/>
        </w:rPr>
        <w:t>instrument</w:t>
      </w:r>
      <w:r>
        <w:rPr>
          <w:rFonts w:ascii="Times New Roman" w:hAnsi="Times New Roman"/>
          <w:sz w:val="24"/>
          <w:szCs w:val="24"/>
          <w:lang w:val="en-US"/>
        </w:rPr>
        <w:t xml:space="preserve"> implementing conditions.</w:t>
      </w:r>
    </w:p>
    <w:p w14:paraId="64AADA5C" w14:textId="77777777" w:rsidR="001E35B1" w:rsidRPr="000E5FBA" w:rsidRDefault="001E35B1" w:rsidP="00DA4480">
      <w:pPr>
        <w:tabs>
          <w:tab w:val="left" w:pos="851"/>
        </w:tabs>
        <w:spacing w:after="0" w:line="240" w:lineRule="auto"/>
        <w:jc w:val="both"/>
        <w:rPr>
          <w:rFonts w:ascii="Bookman Old Style" w:hAnsi="Bookman Old Style"/>
          <w:sz w:val="20"/>
          <w:szCs w:val="20"/>
        </w:rPr>
      </w:pPr>
    </w:p>
    <w:p w14:paraId="0987F2DC" w14:textId="77777777" w:rsidR="00035106" w:rsidRDefault="004E47A2">
      <w:pPr>
        <w:spacing w:after="0" w:line="240" w:lineRule="auto"/>
        <w:rPr>
          <w:rFonts w:ascii="Bookman Old Style" w:hAnsi="Bookman Old Style"/>
        </w:rPr>
      </w:pPr>
      <w:r>
        <w:rPr>
          <w:rFonts w:ascii="Bookman Old Style" w:hAnsi="Bookman Old Style"/>
        </w:rPr>
        <w:br w:type="page"/>
      </w:r>
    </w:p>
    <w:p w14:paraId="3F7CA9EE" w14:textId="77777777" w:rsidR="00C5409C" w:rsidRDefault="004E47A2" w:rsidP="0014063E">
      <w:pPr>
        <w:tabs>
          <w:tab w:val="left" w:pos="1418"/>
        </w:tabs>
        <w:spacing w:after="0" w:line="240" w:lineRule="auto"/>
        <w:ind w:left="993"/>
        <w:contextualSpacing/>
        <w:jc w:val="right"/>
        <w:rPr>
          <w:rFonts w:ascii="Times New Roman" w:hAnsi="Times New Roman"/>
          <w:lang w:eastAsia="lt-LT"/>
        </w:rPr>
      </w:pPr>
      <w:r w:rsidRPr="00531CBF">
        <w:rPr>
          <w:rFonts w:ascii="Times New Roman" w:hAnsi="Times New Roman"/>
          <w:lang w:val="en-US" w:eastAsia="lt-LT"/>
        </w:rPr>
        <w:lastRenderedPageBreak/>
        <w:t>Annex 1 to the Description</w:t>
      </w:r>
    </w:p>
    <w:p w14:paraId="2C8FD84B" w14:textId="6918BB91" w:rsidR="0014063E" w:rsidRPr="00464FB9" w:rsidRDefault="00BE4374" w:rsidP="0014063E">
      <w:pPr>
        <w:tabs>
          <w:tab w:val="left" w:pos="1418"/>
        </w:tabs>
        <w:spacing w:after="0" w:line="240" w:lineRule="auto"/>
        <w:ind w:left="993"/>
        <w:contextualSpacing/>
        <w:jc w:val="right"/>
        <w:rPr>
          <w:rFonts w:ascii="Times New Roman" w:hAnsi="Times New Roman"/>
          <w:lang w:eastAsia="lt-LT"/>
        </w:rPr>
      </w:pPr>
      <w:r>
        <w:rPr>
          <w:rFonts w:ascii="Times New Roman" w:hAnsi="Times New Roman"/>
          <w:lang w:val="en-US" w:eastAsia="lt-LT"/>
        </w:rPr>
        <w:t>Main</w:t>
      </w:r>
      <w:r w:rsidR="004E47A2">
        <w:rPr>
          <w:rFonts w:ascii="Times New Roman" w:hAnsi="Times New Roman"/>
          <w:lang w:val="en-US" w:eastAsia="lt-LT"/>
        </w:rPr>
        <w:t xml:space="preserve"> conditions</w:t>
      </w:r>
    </w:p>
    <w:p w14:paraId="25697E01" w14:textId="77777777" w:rsidR="0014063E" w:rsidRDefault="0014063E" w:rsidP="0014063E">
      <w:pPr>
        <w:autoSpaceDE w:val="0"/>
        <w:autoSpaceDN w:val="0"/>
        <w:adjustRightInd w:val="0"/>
        <w:spacing w:after="0" w:line="240" w:lineRule="auto"/>
        <w:ind w:firstLine="851"/>
        <w:jc w:val="right"/>
        <w:rPr>
          <w:rFonts w:ascii="Times New Roman" w:hAnsi="Times New Roman"/>
          <w:b/>
          <w:i/>
          <w:sz w:val="24"/>
          <w:szCs w:val="24"/>
        </w:rPr>
      </w:pPr>
    </w:p>
    <w:p w14:paraId="5B13AE26" w14:textId="68246274" w:rsidR="00035106" w:rsidRPr="0083559D" w:rsidRDefault="00BE4374" w:rsidP="00035106">
      <w:pPr>
        <w:autoSpaceDE w:val="0"/>
        <w:autoSpaceDN w:val="0"/>
        <w:adjustRightInd w:val="0"/>
        <w:spacing w:after="0" w:line="240" w:lineRule="auto"/>
        <w:ind w:firstLine="851"/>
        <w:jc w:val="center"/>
        <w:rPr>
          <w:rFonts w:ascii="Times New Roman" w:hAnsi="Times New Roman"/>
          <w:b/>
          <w:iCs/>
          <w:sz w:val="24"/>
          <w:szCs w:val="24"/>
        </w:rPr>
      </w:pPr>
      <w:r>
        <w:rPr>
          <w:rFonts w:ascii="Times New Roman" w:hAnsi="Times New Roman"/>
          <w:b/>
          <w:iCs/>
          <w:sz w:val="24"/>
          <w:szCs w:val="24"/>
          <w:lang w:val="en-US"/>
        </w:rPr>
        <w:t>MAIN</w:t>
      </w:r>
      <w:r w:rsidR="007E0355">
        <w:rPr>
          <w:rFonts w:ascii="Times New Roman" w:hAnsi="Times New Roman"/>
          <w:b/>
          <w:iCs/>
          <w:sz w:val="24"/>
          <w:szCs w:val="24"/>
          <w:lang w:val="en-US"/>
        </w:rPr>
        <w:t xml:space="preserve"> CONDITIONS FOR THE</w:t>
      </w:r>
      <w:r w:rsidR="004E47A2" w:rsidRPr="0083559D">
        <w:rPr>
          <w:rFonts w:ascii="Times New Roman" w:hAnsi="Times New Roman"/>
          <w:b/>
          <w:iCs/>
          <w:sz w:val="24"/>
          <w:szCs w:val="24"/>
          <w:lang w:val="en-US"/>
        </w:rPr>
        <w:t xml:space="preserve"> FINANCIAL INCENTIVE </w:t>
      </w:r>
      <w:r w:rsidR="003F2A4B">
        <w:rPr>
          <w:rFonts w:ascii="Times New Roman" w:hAnsi="Times New Roman"/>
          <w:b/>
          <w:iCs/>
          <w:sz w:val="24"/>
          <w:szCs w:val="24"/>
          <w:lang w:val="en-US"/>
        </w:rPr>
        <w:t>INSTRUMENT</w:t>
      </w:r>
      <w:r w:rsidR="004E47A2" w:rsidRPr="0083559D">
        <w:rPr>
          <w:rFonts w:ascii="Times New Roman" w:hAnsi="Times New Roman"/>
          <w:b/>
          <w:iCs/>
          <w:sz w:val="24"/>
          <w:szCs w:val="24"/>
          <w:lang w:val="en-US"/>
        </w:rPr>
        <w:t xml:space="preserve"> </w:t>
      </w:r>
    </w:p>
    <w:p w14:paraId="6035C65D" w14:textId="14C07490" w:rsidR="007E0355" w:rsidRPr="007E0355" w:rsidRDefault="007E0355" w:rsidP="007E0355">
      <w:pPr>
        <w:autoSpaceDE w:val="0"/>
        <w:autoSpaceDN w:val="0"/>
        <w:adjustRightInd w:val="0"/>
        <w:spacing w:after="0" w:line="240" w:lineRule="auto"/>
        <w:ind w:firstLine="851"/>
        <w:jc w:val="center"/>
        <w:rPr>
          <w:rFonts w:ascii="Times New Roman" w:hAnsi="Times New Roman"/>
          <w:b/>
          <w:iCs/>
          <w:sz w:val="24"/>
          <w:szCs w:val="24"/>
          <w:lang w:val="en-US"/>
        </w:rPr>
      </w:pPr>
      <w:r>
        <w:rPr>
          <w:rFonts w:ascii="Times New Roman" w:hAnsi="Times New Roman"/>
          <w:b/>
          <w:iCs/>
          <w:sz w:val="24"/>
          <w:szCs w:val="24"/>
          <w:lang w:val="en-US"/>
        </w:rPr>
        <w:t>“</w:t>
      </w:r>
      <w:r w:rsidR="004E47A2" w:rsidRPr="0083559D">
        <w:rPr>
          <w:rFonts w:ascii="Times New Roman" w:hAnsi="Times New Roman"/>
          <w:b/>
          <w:iCs/>
          <w:sz w:val="24"/>
          <w:szCs w:val="24"/>
          <w:lang w:val="en-US"/>
        </w:rPr>
        <w:t>TRADE CREDIT INSURANCE PORTFOLIO GUARANTEE</w:t>
      </w:r>
      <w:r>
        <w:rPr>
          <w:rFonts w:ascii="Times New Roman" w:hAnsi="Times New Roman"/>
          <w:b/>
          <w:iCs/>
          <w:sz w:val="24"/>
          <w:szCs w:val="24"/>
          <w:lang w:val="en-US"/>
        </w:rPr>
        <w:t>”</w:t>
      </w:r>
    </w:p>
    <w:p w14:paraId="1030C8CD" w14:textId="77777777" w:rsidR="00035106" w:rsidRPr="00DC12B4" w:rsidRDefault="00035106" w:rsidP="00035106">
      <w:pPr>
        <w:autoSpaceDE w:val="0"/>
        <w:autoSpaceDN w:val="0"/>
        <w:adjustRightInd w:val="0"/>
        <w:spacing w:after="0" w:line="240" w:lineRule="auto"/>
        <w:ind w:firstLine="851"/>
        <w:jc w:val="center"/>
        <w:rPr>
          <w:rFonts w:ascii="Times New Roman" w:hAnsi="Times New Roman"/>
          <w:b/>
          <w:i/>
          <w:sz w:val="24"/>
          <w:szCs w:val="24"/>
        </w:rPr>
      </w:pPr>
    </w:p>
    <w:p w14:paraId="3A942987"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6109FDB4"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5756BE2D" w14:textId="77777777" w:rsidR="00CE285C" w:rsidRPr="00CE285C" w:rsidRDefault="00CE285C" w:rsidP="00CE285C">
      <w:pPr>
        <w:autoSpaceDE w:val="0"/>
        <w:autoSpaceDN w:val="0"/>
        <w:adjustRightInd w:val="0"/>
        <w:spacing w:after="0" w:line="240" w:lineRule="auto"/>
        <w:ind w:left="720"/>
        <w:jc w:val="both"/>
        <w:rPr>
          <w:rFonts w:ascii="Times New Roman" w:hAnsi="Times New Roman"/>
          <w:b/>
          <w:bCs/>
          <w:i/>
          <w:sz w:val="24"/>
          <w:szCs w:val="24"/>
        </w:rPr>
      </w:pPr>
    </w:p>
    <w:p w14:paraId="35CAB1BE" w14:textId="77777777" w:rsidR="00CE285C" w:rsidRPr="00CE285C" w:rsidRDefault="004E47A2" w:rsidP="0059506C">
      <w:pPr>
        <w:numPr>
          <w:ilvl w:val="0"/>
          <w:numId w:val="18"/>
        </w:numPr>
        <w:autoSpaceDE w:val="0"/>
        <w:autoSpaceDN w:val="0"/>
        <w:adjustRightInd w:val="0"/>
        <w:spacing w:after="0" w:line="240" w:lineRule="auto"/>
        <w:jc w:val="center"/>
        <w:rPr>
          <w:rFonts w:ascii="Times New Roman" w:hAnsi="Times New Roman"/>
          <w:b/>
          <w:bCs/>
          <w:sz w:val="24"/>
          <w:szCs w:val="24"/>
        </w:rPr>
      </w:pPr>
      <w:r w:rsidRPr="00CE285C">
        <w:rPr>
          <w:rFonts w:ascii="Times New Roman" w:hAnsi="Times New Roman"/>
          <w:b/>
          <w:bCs/>
          <w:sz w:val="24"/>
          <w:szCs w:val="24"/>
          <w:lang w:val="en-US"/>
        </w:rPr>
        <w:t>GENERAL INFORMATION</w:t>
      </w:r>
    </w:p>
    <w:p w14:paraId="3C11A75B" w14:textId="77777777" w:rsidR="00CE285C" w:rsidRPr="00CE285C" w:rsidRDefault="00CE285C" w:rsidP="00CE285C">
      <w:pPr>
        <w:autoSpaceDE w:val="0"/>
        <w:autoSpaceDN w:val="0"/>
        <w:adjustRightInd w:val="0"/>
        <w:spacing w:after="0" w:line="240" w:lineRule="auto"/>
        <w:ind w:left="720"/>
        <w:rPr>
          <w:rFonts w:ascii="Times New Roman" w:hAnsi="Times New Roman"/>
          <w:b/>
          <w:bCs/>
          <w:sz w:val="24"/>
          <w:szCs w:val="24"/>
        </w:rPr>
      </w:pPr>
    </w:p>
    <w:p w14:paraId="0C4E2607"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
          <w:bCs/>
          <w:sz w:val="24"/>
          <w:szCs w:val="24"/>
        </w:rPr>
      </w:pPr>
    </w:p>
    <w:p w14:paraId="2D159776" w14:textId="77777777" w:rsidR="00CE285C" w:rsidRPr="00CE285C" w:rsidRDefault="004E47A2" w:rsidP="0059506C">
      <w:pPr>
        <w:numPr>
          <w:ilvl w:val="1"/>
          <w:numId w:val="16"/>
        </w:numPr>
        <w:autoSpaceDE w:val="0"/>
        <w:autoSpaceDN w:val="0"/>
        <w:adjustRightInd w:val="0"/>
        <w:spacing w:after="0" w:line="240" w:lineRule="auto"/>
        <w:jc w:val="both"/>
        <w:rPr>
          <w:rFonts w:ascii="Times New Roman" w:hAnsi="Times New Roman"/>
          <w:b/>
          <w:bCs/>
          <w:sz w:val="24"/>
          <w:szCs w:val="24"/>
        </w:rPr>
      </w:pPr>
      <w:r w:rsidRPr="00CE285C">
        <w:rPr>
          <w:rFonts w:ascii="Times New Roman" w:hAnsi="Times New Roman"/>
          <w:b/>
          <w:bCs/>
          <w:sz w:val="24"/>
          <w:szCs w:val="24"/>
          <w:lang w:val="en-US"/>
        </w:rPr>
        <w:t>Purpose of the call</w:t>
      </w:r>
    </w:p>
    <w:p w14:paraId="30605732" w14:textId="77777777" w:rsidR="00CE285C" w:rsidRPr="00CE285C" w:rsidRDefault="00CE285C" w:rsidP="00CE285C">
      <w:pPr>
        <w:autoSpaceDE w:val="0"/>
        <w:autoSpaceDN w:val="0"/>
        <w:adjustRightInd w:val="0"/>
        <w:spacing w:after="0" w:line="240" w:lineRule="auto"/>
        <w:ind w:left="1271"/>
        <w:jc w:val="both"/>
        <w:rPr>
          <w:rFonts w:ascii="Times New Roman" w:hAnsi="Times New Roman"/>
          <w:b/>
          <w:bCs/>
          <w:sz w:val="24"/>
          <w:szCs w:val="24"/>
        </w:rPr>
      </w:pPr>
    </w:p>
    <w:p w14:paraId="7AFDDE05" w14:textId="536A4402" w:rsidR="00CE285C" w:rsidRPr="00CE285C" w:rsidRDefault="004E47A2" w:rsidP="00CE285C">
      <w:pPr>
        <w:autoSpaceDE w:val="0"/>
        <w:autoSpaceDN w:val="0"/>
        <w:adjustRightInd w:val="0"/>
        <w:spacing w:after="0" w:line="240" w:lineRule="auto"/>
        <w:ind w:firstLine="851"/>
        <w:jc w:val="both"/>
        <w:rPr>
          <w:rFonts w:ascii="Times New Roman" w:hAnsi="Times New Roman"/>
          <w:sz w:val="24"/>
          <w:szCs w:val="24"/>
        </w:rPr>
      </w:pPr>
      <w:r w:rsidRPr="00CE285C">
        <w:rPr>
          <w:rFonts w:ascii="Times New Roman" w:hAnsi="Times New Roman"/>
          <w:sz w:val="24"/>
          <w:szCs w:val="24"/>
          <w:lang w:val="en-US"/>
        </w:rPr>
        <w:t xml:space="preserve">The call for applications is aimed at concluding contracts with Insurers (hereinafter referred to as the TCIPG </w:t>
      </w:r>
      <w:r w:rsidR="003F2A4B">
        <w:rPr>
          <w:rFonts w:ascii="Times New Roman" w:hAnsi="Times New Roman"/>
          <w:sz w:val="24"/>
          <w:szCs w:val="24"/>
          <w:lang w:val="en-US"/>
        </w:rPr>
        <w:t>instrument</w:t>
      </w:r>
      <w:r w:rsidRPr="00CE285C">
        <w:rPr>
          <w:rFonts w:ascii="Times New Roman" w:hAnsi="Times New Roman"/>
          <w:sz w:val="24"/>
          <w:szCs w:val="24"/>
          <w:lang w:val="en-US"/>
        </w:rPr>
        <w:t xml:space="preserve"> managers) </w:t>
      </w:r>
      <w:r w:rsidR="0099003D">
        <w:rPr>
          <w:rFonts w:ascii="Times New Roman" w:hAnsi="Times New Roman"/>
          <w:sz w:val="24"/>
          <w:szCs w:val="24"/>
          <w:lang w:val="en-US"/>
        </w:rPr>
        <w:t>on</w:t>
      </w:r>
      <w:r w:rsidRPr="00CE285C">
        <w:rPr>
          <w:rFonts w:ascii="Times New Roman" w:hAnsi="Times New Roman"/>
          <w:sz w:val="24"/>
          <w:szCs w:val="24"/>
          <w:lang w:val="en-US"/>
        </w:rPr>
        <w:t xml:space="preserve"> the financial </w:t>
      </w:r>
      <w:r w:rsidR="003F2A4B">
        <w:rPr>
          <w:rFonts w:ascii="Times New Roman" w:hAnsi="Times New Roman"/>
          <w:sz w:val="24"/>
          <w:szCs w:val="24"/>
          <w:lang w:val="en-US"/>
        </w:rPr>
        <w:t>instrument</w:t>
      </w:r>
      <w:r w:rsidRPr="00CE285C">
        <w:rPr>
          <w:rFonts w:ascii="Times New Roman" w:hAnsi="Times New Roman"/>
          <w:sz w:val="24"/>
          <w:szCs w:val="24"/>
          <w:lang w:val="en-US"/>
        </w:rPr>
        <w:t xml:space="preserve"> Trade Credit Insurance Portfolio Guarantee (hereinafter referred to as the Guarantee) </w:t>
      </w:r>
      <w:r w:rsidR="0029282E">
        <w:rPr>
          <w:rStyle w:val="CommentReference"/>
          <w:rFonts w:ascii="Times New Roman" w:hAnsi="Times New Roman"/>
          <w:sz w:val="22"/>
          <w:szCs w:val="22"/>
          <w:lang w:val="en-US" w:eastAsia="lt-LT"/>
        </w:rPr>
        <w:t>which</w:t>
      </w:r>
      <w:r w:rsidRPr="00CE285C">
        <w:rPr>
          <w:rFonts w:ascii="Times New Roman" w:hAnsi="Times New Roman"/>
          <w:sz w:val="24"/>
          <w:szCs w:val="24"/>
          <w:lang w:val="en-US"/>
        </w:rPr>
        <w:t xml:space="preserve"> will implement the TCIPG </w:t>
      </w:r>
      <w:r w:rsidR="003F2A4B">
        <w:rPr>
          <w:rFonts w:ascii="Times New Roman" w:hAnsi="Times New Roman"/>
          <w:sz w:val="24"/>
          <w:szCs w:val="24"/>
          <w:lang w:val="en-US"/>
        </w:rPr>
        <w:t>instrument</w:t>
      </w:r>
      <w:r w:rsidRPr="00CE285C">
        <w:rPr>
          <w:rFonts w:ascii="Times New Roman" w:hAnsi="Times New Roman"/>
          <w:sz w:val="24"/>
          <w:szCs w:val="24"/>
          <w:lang w:val="en-US"/>
        </w:rPr>
        <w:t xml:space="preserve"> while carrying out the activities set out in these conditions.</w:t>
      </w:r>
    </w:p>
    <w:p w14:paraId="783B633E"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sz w:val="24"/>
          <w:szCs w:val="24"/>
        </w:rPr>
      </w:pPr>
    </w:p>
    <w:p w14:paraId="195B446D" w14:textId="2EBFEEA6" w:rsidR="00CE285C" w:rsidRPr="00CE285C" w:rsidRDefault="004E47A2" w:rsidP="0059506C">
      <w:pPr>
        <w:numPr>
          <w:ilvl w:val="1"/>
          <w:numId w:val="16"/>
        </w:numPr>
        <w:autoSpaceDE w:val="0"/>
        <w:autoSpaceDN w:val="0"/>
        <w:adjustRightInd w:val="0"/>
        <w:spacing w:after="0" w:line="240" w:lineRule="auto"/>
        <w:jc w:val="both"/>
        <w:rPr>
          <w:rFonts w:ascii="Times New Roman" w:hAnsi="Times New Roman"/>
          <w:b/>
          <w:bCs/>
          <w:sz w:val="24"/>
          <w:szCs w:val="24"/>
        </w:rPr>
      </w:pPr>
      <w:r w:rsidRPr="00CE285C">
        <w:rPr>
          <w:rFonts w:ascii="Times New Roman" w:hAnsi="Times New Roman"/>
          <w:b/>
          <w:bCs/>
          <w:sz w:val="24"/>
          <w:szCs w:val="24"/>
          <w:lang w:val="en-US"/>
        </w:rPr>
        <w:t xml:space="preserve">Circumstances and objectives of the TCIPG </w:t>
      </w:r>
      <w:r w:rsidR="003F2A4B">
        <w:rPr>
          <w:rFonts w:ascii="Times New Roman" w:hAnsi="Times New Roman"/>
          <w:b/>
          <w:bCs/>
          <w:sz w:val="24"/>
          <w:szCs w:val="24"/>
          <w:lang w:val="en-US"/>
        </w:rPr>
        <w:t>instrument</w:t>
      </w:r>
    </w:p>
    <w:p w14:paraId="5D5CC9A9" w14:textId="77777777" w:rsidR="00CE285C" w:rsidRPr="00CE285C" w:rsidRDefault="00CE285C" w:rsidP="00CE285C">
      <w:pPr>
        <w:autoSpaceDE w:val="0"/>
        <w:autoSpaceDN w:val="0"/>
        <w:adjustRightInd w:val="0"/>
        <w:spacing w:after="0" w:line="240" w:lineRule="auto"/>
        <w:ind w:left="420"/>
        <w:jc w:val="both"/>
        <w:rPr>
          <w:rFonts w:ascii="Times New Roman" w:hAnsi="Times New Roman"/>
          <w:b/>
          <w:bCs/>
          <w:sz w:val="24"/>
          <w:szCs w:val="24"/>
        </w:rPr>
      </w:pPr>
    </w:p>
    <w:p w14:paraId="4BB13DD9" w14:textId="3165CA57" w:rsidR="00CE285C" w:rsidRPr="00CE285C" w:rsidRDefault="004E47A2" w:rsidP="00CE285C">
      <w:pPr>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lang w:val="en-US"/>
        </w:rPr>
        <w:t xml:space="preserve">On 7 April 2009 a financing agreement was signed between the Ministry of Finance of the Republic of Lithuania (hereinafter referred to as </w:t>
      </w:r>
      <w:proofErr w:type="spellStart"/>
      <w:r w:rsidRPr="00CE285C">
        <w:rPr>
          <w:rFonts w:ascii="Times New Roman" w:hAnsi="Times New Roman"/>
          <w:bCs/>
          <w:sz w:val="24"/>
          <w:szCs w:val="24"/>
          <w:lang w:val="en-US"/>
        </w:rPr>
        <w:t>MoF</w:t>
      </w:r>
      <w:proofErr w:type="spellEnd"/>
      <w:r w:rsidRPr="00CE285C">
        <w:rPr>
          <w:rFonts w:ascii="Times New Roman" w:hAnsi="Times New Roman"/>
          <w:bCs/>
          <w:sz w:val="24"/>
          <w:szCs w:val="24"/>
          <w:lang w:val="en-US"/>
        </w:rPr>
        <w:t>), the Ministry of Economy of the Republic of Lithuania and INVESTICIJŲ IR VERSLO GARANTIJOS UAB (hereinafter referred to as Invega), establishing the holding fund INVEG</w:t>
      </w:r>
      <w:r w:rsidR="0099003D">
        <w:rPr>
          <w:rFonts w:ascii="Times New Roman" w:hAnsi="Times New Roman"/>
          <w:bCs/>
          <w:sz w:val="24"/>
          <w:szCs w:val="24"/>
          <w:lang w:val="en-US"/>
        </w:rPr>
        <w:t>A</w:t>
      </w:r>
      <w:r w:rsidRPr="00CE285C">
        <w:rPr>
          <w:rFonts w:ascii="Times New Roman" w:hAnsi="Times New Roman"/>
          <w:bCs/>
          <w:sz w:val="24"/>
          <w:szCs w:val="24"/>
          <w:lang w:val="en-US"/>
        </w:rPr>
        <w:t xml:space="preserve"> </w:t>
      </w:r>
      <w:r w:rsidR="0099003D">
        <w:rPr>
          <w:rFonts w:ascii="Times New Roman" w:hAnsi="Times New Roman"/>
          <w:bCs/>
          <w:sz w:val="24"/>
          <w:szCs w:val="24"/>
          <w:lang w:val="en-US"/>
        </w:rPr>
        <w:t>fund</w:t>
      </w:r>
      <w:r w:rsidRPr="00CE285C">
        <w:rPr>
          <w:rFonts w:ascii="Times New Roman" w:hAnsi="Times New Roman"/>
          <w:bCs/>
          <w:sz w:val="24"/>
          <w:szCs w:val="24"/>
          <w:lang w:val="en-US"/>
        </w:rPr>
        <w:t xml:space="preserve"> (hereinafter referred to as the INVEGA fund). Under this agreement, Invega was appointed as Manager of the INVEGA </w:t>
      </w:r>
      <w:r w:rsidR="001C575D">
        <w:rPr>
          <w:rFonts w:ascii="Times New Roman" w:hAnsi="Times New Roman"/>
          <w:bCs/>
          <w:sz w:val="24"/>
          <w:szCs w:val="24"/>
          <w:lang w:val="en-US"/>
        </w:rPr>
        <w:t>f</w:t>
      </w:r>
      <w:r w:rsidRPr="00CE285C">
        <w:rPr>
          <w:rFonts w:ascii="Times New Roman" w:hAnsi="Times New Roman"/>
          <w:bCs/>
          <w:sz w:val="24"/>
          <w:szCs w:val="24"/>
          <w:lang w:val="en-US"/>
        </w:rPr>
        <w:t>und.</w:t>
      </w:r>
    </w:p>
    <w:p w14:paraId="699E856C" w14:textId="0814BEC7" w:rsidR="00CE285C" w:rsidRPr="00CE285C" w:rsidRDefault="004E47A2" w:rsidP="00CE285C">
      <w:pPr>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lang w:val="en-US"/>
        </w:rPr>
        <w:t xml:space="preserve">On 17 October 2018 the Government of the Republic of Lithuania granted Invega the status of a national promotional institution, and as of 3 December 2018, Invega has been included in the list of National promotional institutions (hereinafter referred to as NPIs) by a decision of the Supervision Service of the Bank of Lithuania. Invega implements financial incentive </w:t>
      </w:r>
      <w:r w:rsidR="003F2A4B">
        <w:rPr>
          <w:rFonts w:ascii="Times New Roman" w:hAnsi="Times New Roman"/>
          <w:bCs/>
          <w:sz w:val="24"/>
          <w:szCs w:val="24"/>
          <w:lang w:val="en-US"/>
        </w:rPr>
        <w:t>instrument</w:t>
      </w:r>
      <w:r w:rsidRPr="00CE285C">
        <w:rPr>
          <w:rFonts w:ascii="Times New Roman" w:hAnsi="Times New Roman"/>
          <w:bCs/>
          <w:sz w:val="24"/>
          <w:szCs w:val="24"/>
          <w:lang w:val="en-US"/>
        </w:rPr>
        <w:t xml:space="preserve">s financed from the </w:t>
      </w:r>
      <w:r w:rsidR="00BE4374">
        <w:rPr>
          <w:rFonts w:ascii="Times New Roman" w:hAnsi="Times New Roman"/>
          <w:bCs/>
          <w:sz w:val="24"/>
          <w:szCs w:val="24"/>
          <w:lang w:val="en-US"/>
        </w:rPr>
        <w:t>S</w:t>
      </w:r>
      <w:r w:rsidRPr="00CE285C">
        <w:rPr>
          <w:rFonts w:ascii="Times New Roman" w:hAnsi="Times New Roman"/>
          <w:bCs/>
          <w:sz w:val="24"/>
          <w:szCs w:val="24"/>
          <w:lang w:val="en-US"/>
        </w:rPr>
        <w:t xml:space="preserve">tate budget of the Republic of Lithuania. </w:t>
      </w:r>
    </w:p>
    <w:p w14:paraId="0171670A" w14:textId="1EE78CF8" w:rsidR="00CE285C" w:rsidRPr="00CE285C" w:rsidRDefault="004E47A2" w:rsidP="00CE285C">
      <w:pPr>
        <w:autoSpaceDE w:val="0"/>
        <w:autoSpaceDN w:val="0"/>
        <w:adjustRightInd w:val="0"/>
        <w:spacing w:after="0" w:line="240" w:lineRule="auto"/>
        <w:ind w:firstLine="851"/>
        <w:jc w:val="both"/>
        <w:rPr>
          <w:rFonts w:ascii="Times New Roman" w:hAnsi="Times New Roman"/>
          <w:bCs/>
          <w:sz w:val="24"/>
          <w:szCs w:val="24"/>
        </w:rPr>
      </w:pPr>
      <w:r>
        <w:rPr>
          <w:rFonts w:ascii="Times New Roman" w:hAnsi="Times New Roman"/>
          <w:sz w:val="24"/>
          <w:szCs w:val="24"/>
          <w:lang w:val="en-US"/>
        </w:rPr>
        <w:t xml:space="preserve">The TCIPG </w:t>
      </w:r>
      <w:r w:rsidR="003F2A4B">
        <w:rPr>
          <w:rFonts w:ascii="Times New Roman" w:hAnsi="Times New Roman"/>
          <w:sz w:val="24"/>
          <w:szCs w:val="24"/>
          <w:lang w:val="en-US"/>
        </w:rPr>
        <w:t>instrument</w:t>
      </w:r>
      <w:r>
        <w:rPr>
          <w:rFonts w:ascii="Times New Roman" w:hAnsi="Times New Roman"/>
          <w:sz w:val="24"/>
          <w:szCs w:val="24"/>
          <w:lang w:val="en-US"/>
        </w:rPr>
        <w:t xml:space="preserve"> is implemented in accordance with the Economic Stimulus and Coronavirus (COVID-19) Mitigation Plan, which was approved by the Minutes No 14 of the meeting of 16 March 2020 </w:t>
      </w:r>
      <w:r w:rsidR="0099003D">
        <w:rPr>
          <w:rFonts w:ascii="Times New Roman" w:hAnsi="Times New Roman"/>
          <w:sz w:val="24"/>
          <w:szCs w:val="24"/>
          <w:lang w:val="en-US"/>
        </w:rPr>
        <w:t xml:space="preserve">of the </w:t>
      </w:r>
      <w:r>
        <w:rPr>
          <w:rFonts w:ascii="Times New Roman" w:hAnsi="Times New Roman"/>
          <w:sz w:val="24"/>
          <w:szCs w:val="24"/>
          <w:lang w:val="en-US"/>
        </w:rPr>
        <w:t>Government of the Republic of Lithuania, Objective 3 "Helping businesses maintain liquidity" and Objective 4 "Stimulating the economy".</w:t>
      </w:r>
    </w:p>
    <w:p w14:paraId="768AA633" w14:textId="3417D42C" w:rsidR="00CE285C" w:rsidRPr="00CE285C" w:rsidRDefault="004E47A2" w:rsidP="00CE285C">
      <w:pPr>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lang w:val="en-US"/>
        </w:rPr>
        <w:t xml:space="preserve">The main objective of the TCIPG </w:t>
      </w:r>
      <w:r w:rsidR="003F2A4B">
        <w:rPr>
          <w:rFonts w:ascii="Times New Roman" w:hAnsi="Times New Roman"/>
          <w:bCs/>
          <w:sz w:val="24"/>
          <w:szCs w:val="24"/>
          <w:lang w:val="en-US"/>
        </w:rPr>
        <w:t>instrument</w:t>
      </w:r>
      <w:r w:rsidRPr="00CE285C">
        <w:rPr>
          <w:rFonts w:ascii="Times New Roman" w:hAnsi="Times New Roman"/>
          <w:bCs/>
          <w:sz w:val="24"/>
          <w:szCs w:val="24"/>
          <w:lang w:val="en-US"/>
        </w:rPr>
        <w:t xml:space="preserve"> is to facilitate the availability of trade credit insurance transactions in order to maintain and improve the liquidity of companies as a result of the COVID-19 outbreak.</w:t>
      </w:r>
    </w:p>
    <w:p w14:paraId="4016DBE1" w14:textId="2C3AECAE" w:rsidR="00CE285C" w:rsidRPr="002D221F" w:rsidRDefault="004E47A2" w:rsidP="00CE285C">
      <w:pPr>
        <w:autoSpaceDE w:val="0"/>
        <w:autoSpaceDN w:val="0"/>
        <w:adjustRightInd w:val="0"/>
        <w:spacing w:after="0" w:line="240" w:lineRule="auto"/>
        <w:ind w:firstLine="851"/>
        <w:jc w:val="both"/>
        <w:rPr>
          <w:rFonts w:ascii="Times New Roman" w:hAnsi="Times New Roman"/>
          <w:bCs/>
          <w:sz w:val="24"/>
          <w:szCs w:val="24"/>
        </w:rPr>
      </w:pPr>
      <w:r w:rsidRPr="002D221F">
        <w:rPr>
          <w:rFonts w:ascii="Times New Roman" w:hAnsi="Times New Roman"/>
          <w:sz w:val="24"/>
          <w:szCs w:val="24"/>
          <w:lang w:val="en-US"/>
        </w:rPr>
        <w:t>To guarantee the</w:t>
      </w:r>
      <w:r w:rsidR="0099003D">
        <w:rPr>
          <w:rFonts w:ascii="Times New Roman" w:hAnsi="Times New Roman"/>
          <w:sz w:val="24"/>
          <w:szCs w:val="24"/>
          <w:lang w:val="en-US"/>
        </w:rPr>
        <w:t xml:space="preserve">ir </w:t>
      </w:r>
      <w:r w:rsidRPr="002D221F">
        <w:rPr>
          <w:rFonts w:ascii="Times New Roman" w:hAnsi="Times New Roman"/>
          <w:sz w:val="24"/>
          <w:szCs w:val="24"/>
          <w:lang w:val="en-US"/>
        </w:rPr>
        <w:t xml:space="preserve">Insurance </w:t>
      </w:r>
      <w:r w:rsidR="003D2BF0">
        <w:rPr>
          <w:rFonts w:ascii="Times New Roman" w:hAnsi="Times New Roman"/>
          <w:sz w:val="24"/>
          <w:szCs w:val="24"/>
          <w:lang w:val="en-US"/>
        </w:rPr>
        <w:t>p</w:t>
      </w:r>
      <w:r w:rsidRPr="002D221F">
        <w:rPr>
          <w:rFonts w:ascii="Times New Roman" w:hAnsi="Times New Roman"/>
          <w:sz w:val="24"/>
          <w:szCs w:val="24"/>
          <w:lang w:val="en-US"/>
        </w:rPr>
        <w:t>ortfolio</w:t>
      </w:r>
      <w:r w:rsidR="0099003D">
        <w:rPr>
          <w:rFonts w:ascii="Times New Roman" w:hAnsi="Times New Roman"/>
          <w:sz w:val="24"/>
          <w:szCs w:val="24"/>
          <w:lang w:val="en-US"/>
        </w:rPr>
        <w:t>s</w:t>
      </w:r>
      <w:r w:rsidRPr="002D221F">
        <w:rPr>
          <w:rFonts w:ascii="Times New Roman" w:hAnsi="Times New Roman"/>
          <w:sz w:val="24"/>
          <w:szCs w:val="24"/>
          <w:lang w:val="en-US"/>
        </w:rPr>
        <w:t xml:space="preserve">, an allocation of EUR </w:t>
      </w:r>
      <w:r w:rsidR="00B11FC7">
        <w:rPr>
          <w:rFonts w:ascii="Times New Roman" w:hAnsi="Times New Roman"/>
          <w:sz w:val="24"/>
          <w:szCs w:val="24"/>
          <w:lang w:val="en-US"/>
        </w:rPr>
        <w:t>600</w:t>
      </w:r>
      <w:r w:rsidR="000755B2">
        <w:rPr>
          <w:rFonts w:ascii="Times New Roman" w:hAnsi="Times New Roman"/>
          <w:sz w:val="24"/>
          <w:szCs w:val="24"/>
          <w:lang w:val="en-US"/>
        </w:rPr>
        <w:t xml:space="preserve"> </w:t>
      </w:r>
      <w:r w:rsidRPr="002D221F">
        <w:rPr>
          <w:rFonts w:ascii="Times New Roman" w:hAnsi="Times New Roman"/>
          <w:sz w:val="24"/>
          <w:szCs w:val="24"/>
          <w:lang w:val="en-US"/>
        </w:rPr>
        <w:t xml:space="preserve">million from the </w:t>
      </w:r>
      <w:r w:rsidR="00BE4374">
        <w:rPr>
          <w:rFonts w:ascii="Times New Roman" w:hAnsi="Times New Roman"/>
          <w:sz w:val="24"/>
          <w:szCs w:val="24"/>
          <w:lang w:val="en-US"/>
        </w:rPr>
        <w:t>S</w:t>
      </w:r>
      <w:r w:rsidRPr="002D221F">
        <w:rPr>
          <w:rFonts w:ascii="Times New Roman" w:hAnsi="Times New Roman"/>
          <w:sz w:val="24"/>
          <w:szCs w:val="24"/>
          <w:lang w:val="en-US"/>
        </w:rPr>
        <w:t xml:space="preserve">tate budget of the Republic of Lithuania is foreseen for the </w:t>
      </w:r>
      <w:r w:rsidR="0099003D">
        <w:rPr>
          <w:rFonts w:ascii="Times New Roman" w:hAnsi="Times New Roman"/>
          <w:sz w:val="24"/>
          <w:szCs w:val="24"/>
          <w:lang w:val="en-US"/>
        </w:rPr>
        <w:t>m</w:t>
      </w:r>
      <w:r w:rsidRPr="002D221F">
        <w:rPr>
          <w:rFonts w:ascii="Times New Roman" w:hAnsi="Times New Roman"/>
          <w:sz w:val="24"/>
          <w:szCs w:val="24"/>
          <w:lang w:val="en-US"/>
        </w:rPr>
        <w:t xml:space="preserve">anagers of the TCIPG </w:t>
      </w:r>
      <w:r w:rsidR="003F2A4B">
        <w:rPr>
          <w:rFonts w:ascii="Times New Roman" w:hAnsi="Times New Roman"/>
          <w:sz w:val="24"/>
          <w:szCs w:val="24"/>
          <w:lang w:val="en-US"/>
        </w:rPr>
        <w:t>instrument</w:t>
      </w:r>
      <w:r w:rsidRPr="002D221F">
        <w:rPr>
          <w:rFonts w:ascii="Times New Roman" w:hAnsi="Times New Roman"/>
          <w:sz w:val="24"/>
          <w:szCs w:val="24"/>
          <w:lang w:val="en-US"/>
        </w:rPr>
        <w:t xml:space="preserve">.  </w:t>
      </w:r>
    </w:p>
    <w:p w14:paraId="47FE1497"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p>
    <w:p w14:paraId="7968B420" w14:textId="77777777" w:rsidR="00CE285C" w:rsidRPr="00CE285C" w:rsidRDefault="004E47A2" w:rsidP="00282A98">
      <w:pPr>
        <w:keepNext/>
        <w:numPr>
          <w:ilvl w:val="1"/>
          <w:numId w:val="18"/>
        </w:numPr>
        <w:autoSpaceDE w:val="0"/>
        <w:autoSpaceDN w:val="0"/>
        <w:adjustRightInd w:val="0"/>
        <w:spacing w:after="0" w:line="240" w:lineRule="auto"/>
        <w:jc w:val="both"/>
        <w:rPr>
          <w:rFonts w:ascii="Times New Roman" w:hAnsi="Times New Roman"/>
          <w:b/>
          <w:bCs/>
          <w:sz w:val="24"/>
          <w:szCs w:val="24"/>
        </w:rPr>
      </w:pPr>
      <w:r w:rsidRPr="00CE285C">
        <w:rPr>
          <w:rFonts w:ascii="Times New Roman" w:hAnsi="Times New Roman"/>
          <w:b/>
          <w:bCs/>
          <w:sz w:val="24"/>
          <w:szCs w:val="24"/>
          <w:lang w:val="en-US"/>
        </w:rPr>
        <w:t>Legal acts and documents:</w:t>
      </w:r>
    </w:p>
    <w:p w14:paraId="40D33692" w14:textId="77777777" w:rsidR="00CE285C" w:rsidRPr="00CE285C" w:rsidRDefault="00CE285C" w:rsidP="00282A98">
      <w:pPr>
        <w:keepNext/>
        <w:autoSpaceDE w:val="0"/>
        <w:autoSpaceDN w:val="0"/>
        <w:adjustRightInd w:val="0"/>
        <w:spacing w:after="0" w:line="240" w:lineRule="auto"/>
        <w:ind w:left="1271"/>
        <w:jc w:val="both"/>
        <w:rPr>
          <w:rFonts w:ascii="Times New Roman" w:hAnsi="Times New Roman"/>
          <w:b/>
          <w:bCs/>
          <w:sz w:val="24"/>
          <w:szCs w:val="24"/>
        </w:rPr>
      </w:pPr>
    </w:p>
    <w:p w14:paraId="01E15E21" w14:textId="77777777" w:rsidR="00CE285C" w:rsidRPr="00CE285C" w:rsidRDefault="004E47A2" w:rsidP="00282A98">
      <w:pPr>
        <w:keepNext/>
        <w:autoSpaceDE w:val="0"/>
        <w:autoSpaceDN w:val="0"/>
        <w:adjustRightInd w:val="0"/>
        <w:spacing w:after="0" w:line="240" w:lineRule="auto"/>
        <w:ind w:firstLine="851"/>
        <w:jc w:val="both"/>
        <w:rPr>
          <w:rFonts w:ascii="Times New Roman" w:hAnsi="Times New Roman"/>
          <w:b/>
          <w:sz w:val="24"/>
          <w:szCs w:val="24"/>
        </w:rPr>
      </w:pPr>
      <w:r w:rsidRPr="00CE285C">
        <w:rPr>
          <w:rFonts w:ascii="Times New Roman" w:hAnsi="Times New Roman"/>
          <w:b/>
          <w:sz w:val="24"/>
          <w:szCs w:val="24"/>
          <w:lang w:val="en-US"/>
        </w:rPr>
        <w:t>European Union (EU) legislation and guidelines:</w:t>
      </w:r>
    </w:p>
    <w:p w14:paraId="3DE4B85C" w14:textId="41C7236F" w:rsidR="00CE285C" w:rsidRPr="00CE285C" w:rsidRDefault="004E47A2" w:rsidP="00282A98">
      <w:pPr>
        <w:keepNext/>
        <w:autoSpaceDE w:val="0"/>
        <w:autoSpaceDN w:val="0"/>
        <w:adjustRightInd w:val="0"/>
        <w:spacing w:after="0" w:line="240" w:lineRule="auto"/>
        <w:ind w:firstLine="851"/>
        <w:jc w:val="both"/>
        <w:rPr>
          <w:rFonts w:ascii="Times New Roman" w:hAnsi="Times New Roman"/>
          <w:sz w:val="24"/>
          <w:szCs w:val="24"/>
        </w:rPr>
      </w:pPr>
      <w:r w:rsidRPr="00CE285C">
        <w:rPr>
          <w:rFonts w:ascii="Times New Roman" w:hAnsi="Times New Roman"/>
          <w:sz w:val="24"/>
          <w:szCs w:val="24"/>
          <w:lang w:val="en-US"/>
        </w:rPr>
        <w:t>-</w:t>
      </w:r>
      <w:r w:rsidRPr="00CE285C">
        <w:rPr>
          <w:rFonts w:ascii="Times New Roman" w:hAnsi="Times New Roman"/>
          <w:sz w:val="24"/>
          <w:szCs w:val="24"/>
          <w:lang w:val="en-US"/>
        </w:rPr>
        <w:tab/>
        <w:t xml:space="preserve">The 19 March 2020 European Commission Communication on Temporary </w:t>
      </w:r>
      <w:r w:rsidR="0099003D">
        <w:rPr>
          <w:rFonts w:ascii="Times New Roman" w:hAnsi="Times New Roman"/>
          <w:sz w:val="24"/>
          <w:szCs w:val="24"/>
          <w:lang w:val="en-US"/>
        </w:rPr>
        <w:t>F</w:t>
      </w:r>
      <w:r w:rsidRPr="00CE285C">
        <w:rPr>
          <w:rFonts w:ascii="Times New Roman" w:hAnsi="Times New Roman"/>
          <w:sz w:val="24"/>
          <w:szCs w:val="24"/>
          <w:lang w:val="en-US"/>
        </w:rPr>
        <w:t xml:space="preserve">ramework for State </w:t>
      </w:r>
      <w:r w:rsidR="0099003D">
        <w:rPr>
          <w:rFonts w:ascii="Times New Roman" w:hAnsi="Times New Roman"/>
          <w:sz w:val="24"/>
          <w:szCs w:val="24"/>
          <w:lang w:val="en-US"/>
        </w:rPr>
        <w:t>A</w:t>
      </w:r>
      <w:r w:rsidRPr="00CE285C">
        <w:rPr>
          <w:rFonts w:ascii="Times New Roman" w:hAnsi="Times New Roman"/>
          <w:sz w:val="24"/>
          <w:szCs w:val="24"/>
          <w:lang w:val="en-US"/>
        </w:rPr>
        <w:t xml:space="preserve">id </w:t>
      </w:r>
      <w:r w:rsidR="0099003D">
        <w:rPr>
          <w:rFonts w:ascii="Times New Roman" w:hAnsi="Times New Roman"/>
          <w:sz w:val="24"/>
          <w:szCs w:val="24"/>
          <w:lang w:val="en-US"/>
        </w:rPr>
        <w:t>M</w:t>
      </w:r>
      <w:r w:rsidRPr="00CE285C">
        <w:rPr>
          <w:rFonts w:ascii="Times New Roman" w:hAnsi="Times New Roman"/>
          <w:sz w:val="24"/>
          <w:szCs w:val="24"/>
          <w:lang w:val="en-US"/>
        </w:rPr>
        <w:t xml:space="preserve">easures to </w:t>
      </w:r>
      <w:r w:rsidR="0099003D">
        <w:rPr>
          <w:rFonts w:ascii="Times New Roman" w:hAnsi="Times New Roman"/>
          <w:sz w:val="24"/>
          <w:szCs w:val="24"/>
          <w:lang w:val="en-US"/>
        </w:rPr>
        <w:t>S</w:t>
      </w:r>
      <w:r w:rsidRPr="00CE285C">
        <w:rPr>
          <w:rFonts w:ascii="Times New Roman" w:hAnsi="Times New Roman"/>
          <w:sz w:val="24"/>
          <w:szCs w:val="24"/>
          <w:lang w:val="en-US"/>
        </w:rPr>
        <w:t xml:space="preserve">upport the </w:t>
      </w:r>
      <w:r w:rsidR="0099003D">
        <w:rPr>
          <w:rFonts w:ascii="Times New Roman" w:hAnsi="Times New Roman"/>
          <w:sz w:val="24"/>
          <w:szCs w:val="24"/>
          <w:lang w:val="en-US"/>
        </w:rPr>
        <w:t>E</w:t>
      </w:r>
      <w:r w:rsidRPr="00CE285C">
        <w:rPr>
          <w:rFonts w:ascii="Times New Roman" w:hAnsi="Times New Roman"/>
          <w:sz w:val="24"/>
          <w:szCs w:val="24"/>
          <w:lang w:val="en-US"/>
        </w:rPr>
        <w:t xml:space="preserve">conomy in the </w:t>
      </w:r>
      <w:r w:rsidR="0099003D">
        <w:rPr>
          <w:rFonts w:ascii="Times New Roman" w:hAnsi="Times New Roman"/>
          <w:sz w:val="24"/>
          <w:szCs w:val="24"/>
          <w:lang w:val="en-US"/>
        </w:rPr>
        <w:t>C</w:t>
      </w:r>
      <w:r w:rsidRPr="00CE285C">
        <w:rPr>
          <w:rFonts w:ascii="Times New Roman" w:hAnsi="Times New Roman"/>
          <w:sz w:val="24"/>
          <w:szCs w:val="24"/>
          <w:lang w:val="en-US"/>
        </w:rPr>
        <w:t xml:space="preserve">urrent COVID-19 </w:t>
      </w:r>
      <w:r w:rsidR="0099003D">
        <w:rPr>
          <w:rFonts w:ascii="Times New Roman" w:hAnsi="Times New Roman"/>
          <w:sz w:val="24"/>
          <w:szCs w:val="24"/>
          <w:lang w:val="en-US"/>
        </w:rPr>
        <w:t>O</w:t>
      </w:r>
      <w:r w:rsidRPr="00CE285C">
        <w:rPr>
          <w:rFonts w:ascii="Times New Roman" w:hAnsi="Times New Roman"/>
          <w:sz w:val="24"/>
          <w:szCs w:val="24"/>
          <w:lang w:val="en-US"/>
        </w:rPr>
        <w:t>utbreak (hereinafter referred to as the Communication);</w:t>
      </w:r>
    </w:p>
    <w:p w14:paraId="2C95C131" w14:textId="77777777" w:rsidR="003A20C5" w:rsidRDefault="003A20C5" w:rsidP="00CE285C">
      <w:pPr>
        <w:autoSpaceDE w:val="0"/>
        <w:autoSpaceDN w:val="0"/>
        <w:adjustRightInd w:val="0"/>
        <w:spacing w:after="0" w:line="240" w:lineRule="auto"/>
        <w:ind w:firstLine="851"/>
        <w:jc w:val="both"/>
        <w:rPr>
          <w:rFonts w:ascii="Times New Roman" w:hAnsi="Times New Roman"/>
          <w:b/>
          <w:sz w:val="24"/>
          <w:szCs w:val="24"/>
        </w:rPr>
      </w:pPr>
    </w:p>
    <w:p w14:paraId="08213F49" w14:textId="77777777" w:rsidR="00CE285C" w:rsidRPr="00CE285C" w:rsidRDefault="004E47A2" w:rsidP="00CE285C">
      <w:pPr>
        <w:autoSpaceDE w:val="0"/>
        <w:autoSpaceDN w:val="0"/>
        <w:adjustRightInd w:val="0"/>
        <w:spacing w:after="0" w:line="240" w:lineRule="auto"/>
        <w:ind w:firstLine="851"/>
        <w:jc w:val="both"/>
        <w:rPr>
          <w:rFonts w:ascii="Times New Roman" w:hAnsi="Times New Roman"/>
          <w:b/>
          <w:sz w:val="24"/>
          <w:szCs w:val="24"/>
        </w:rPr>
      </w:pPr>
      <w:r w:rsidRPr="00CE285C">
        <w:rPr>
          <w:rFonts w:ascii="Times New Roman" w:hAnsi="Times New Roman"/>
          <w:b/>
          <w:sz w:val="24"/>
          <w:szCs w:val="24"/>
          <w:lang w:val="en-US"/>
        </w:rPr>
        <w:lastRenderedPageBreak/>
        <w:t>National legislation and documents:</w:t>
      </w:r>
    </w:p>
    <w:p w14:paraId="7E8575C2" w14:textId="0FA734F7" w:rsidR="00CE285C" w:rsidRPr="00CE285C" w:rsidRDefault="004E47A2" w:rsidP="00CE285C">
      <w:pPr>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lang w:val="en-US"/>
        </w:rPr>
        <w:t>-</w:t>
      </w:r>
      <w:r w:rsidRPr="00CE285C">
        <w:rPr>
          <w:rFonts w:ascii="Times New Roman" w:hAnsi="Times New Roman"/>
          <w:bCs/>
          <w:sz w:val="24"/>
          <w:szCs w:val="24"/>
          <w:lang w:val="en-US"/>
        </w:rPr>
        <w:tab/>
        <w:t xml:space="preserve">Law on </w:t>
      </w:r>
      <w:r w:rsidR="00BE4374">
        <w:rPr>
          <w:rFonts w:ascii="Times New Roman" w:hAnsi="Times New Roman"/>
          <w:bCs/>
          <w:sz w:val="24"/>
          <w:szCs w:val="24"/>
          <w:lang w:val="en-US"/>
        </w:rPr>
        <w:t>State</w:t>
      </w:r>
      <w:r w:rsidR="00BE4374" w:rsidRPr="00CE285C">
        <w:rPr>
          <w:rFonts w:ascii="Times New Roman" w:hAnsi="Times New Roman"/>
          <w:bCs/>
          <w:sz w:val="24"/>
          <w:szCs w:val="24"/>
          <w:lang w:val="en-US"/>
        </w:rPr>
        <w:t xml:space="preserve"> </w:t>
      </w:r>
      <w:r w:rsidRPr="00CE285C">
        <w:rPr>
          <w:rFonts w:ascii="Times New Roman" w:hAnsi="Times New Roman"/>
          <w:bCs/>
          <w:sz w:val="24"/>
          <w:szCs w:val="24"/>
          <w:lang w:val="en-US"/>
        </w:rPr>
        <w:t>Debt of the Republic of Lithuania;</w:t>
      </w:r>
    </w:p>
    <w:p w14:paraId="6103940D" w14:textId="1310AFAD" w:rsidR="00CE285C" w:rsidRPr="00CE285C" w:rsidRDefault="004E47A2" w:rsidP="00CE285C">
      <w:pPr>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lang w:val="en-US"/>
        </w:rPr>
        <w:t>-</w:t>
      </w:r>
      <w:r w:rsidRPr="00CE285C">
        <w:rPr>
          <w:rFonts w:ascii="Times New Roman" w:hAnsi="Times New Roman"/>
          <w:bCs/>
          <w:sz w:val="24"/>
          <w:szCs w:val="24"/>
          <w:lang w:val="en-US"/>
        </w:rPr>
        <w:tab/>
        <w:t xml:space="preserve">Law on National </w:t>
      </w:r>
      <w:r w:rsidR="003B7F53">
        <w:rPr>
          <w:rFonts w:ascii="Times New Roman" w:hAnsi="Times New Roman"/>
          <w:bCs/>
          <w:sz w:val="24"/>
          <w:szCs w:val="24"/>
          <w:lang w:val="en-US"/>
        </w:rPr>
        <w:t>Promotional Institutions</w:t>
      </w:r>
      <w:r w:rsidRPr="00CE285C">
        <w:rPr>
          <w:rFonts w:ascii="Times New Roman" w:hAnsi="Times New Roman"/>
          <w:bCs/>
          <w:sz w:val="24"/>
          <w:szCs w:val="24"/>
          <w:lang w:val="en-US"/>
        </w:rPr>
        <w:t xml:space="preserve"> of the Republic of Lithuania;</w:t>
      </w:r>
    </w:p>
    <w:p w14:paraId="6153AB3C" w14:textId="77777777" w:rsidR="00CE285C" w:rsidRPr="00CE285C" w:rsidRDefault="004E47A2" w:rsidP="00CE285C">
      <w:pPr>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lang w:val="en-US"/>
        </w:rPr>
        <w:t xml:space="preserve">- </w:t>
      </w:r>
      <w:r w:rsidRPr="00CE285C">
        <w:rPr>
          <w:rFonts w:ascii="Times New Roman" w:hAnsi="Times New Roman"/>
          <w:bCs/>
          <w:sz w:val="24"/>
          <w:szCs w:val="24"/>
          <w:lang w:val="en-US"/>
        </w:rPr>
        <w:tab/>
        <w:t>Civil Code of the Republic of Lithuania;</w:t>
      </w:r>
    </w:p>
    <w:p w14:paraId="61DD07F1" w14:textId="65D1A839" w:rsidR="00CE285C" w:rsidRPr="00CE285C" w:rsidRDefault="004E47A2" w:rsidP="00CE285C">
      <w:pPr>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lang w:val="en-US"/>
        </w:rPr>
        <w:t>-</w:t>
      </w:r>
      <w:r w:rsidRPr="00CE285C">
        <w:rPr>
          <w:rFonts w:ascii="Times New Roman" w:hAnsi="Times New Roman"/>
          <w:bCs/>
          <w:sz w:val="24"/>
          <w:szCs w:val="24"/>
          <w:lang w:val="en-US"/>
        </w:rPr>
        <w:tab/>
        <w:t xml:space="preserve">The Government of the Republic of Lithuania Resolution No 910 of 12 September 2018 “On the Approval of the Implementing Rules for Financial </w:t>
      </w:r>
      <w:r w:rsidR="003F2A4B">
        <w:rPr>
          <w:rFonts w:ascii="Times New Roman" w:hAnsi="Times New Roman"/>
          <w:bCs/>
          <w:sz w:val="24"/>
          <w:szCs w:val="24"/>
          <w:lang w:val="en-US"/>
        </w:rPr>
        <w:t>Instrument</w:t>
      </w:r>
      <w:r w:rsidRPr="00CE285C">
        <w:rPr>
          <w:rFonts w:ascii="Times New Roman" w:hAnsi="Times New Roman"/>
          <w:bCs/>
          <w:sz w:val="24"/>
          <w:szCs w:val="24"/>
          <w:lang w:val="en-US"/>
        </w:rPr>
        <w:t>s financed from the State Budget of the Republic of Lithuania”;</w:t>
      </w:r>
    </w:p>
    <w:p w14:paraId="77869F02" w14:textId="14BB26A6" w:rsidR="00CE285C" w:rsidRPr="00CE285C" w:rsidRDefault="004E47A2" w:rsidP="00CE285C">
      <w:pPr>
        <w:tabs>
          <w:tab w:val="left" w:pos="1134"/>
        </w:tabs>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lang w:val="en-US"/>
        </w:rPr>
        <w:t>-</w:t>
      </w:r>
      <w:r w:rsidRPr="00CE285C">
        <w:rPr>
          <w:rFonts w:ascii="Times New Roman" w:hAnsi="Times New Roman"/>
          <w:bCs/>
          <w:sz w:val="24"/>
          <w:szCs w:val="24"/>
          <w:lang w:val="en-US"/>
        </w:rPr>
        <w:tab/>
        <w:t xml:space="preserve">Government of the Republic of Lithuania Resolution No 887 of 11 July 2001 “On the Activities of </w:t>
      </w:r>
      <w:proofErr w:type="spellStart"/>
      <w:r w:rsidRPr="00CE285C">
        <w:rPr>
          <w:rFonts w:ascii="Times New Roman" w:hAnsi="Times New Roman"/>
          <w:bCs/>
          <w:sz w:val="24"/>
          <w:szCs w:val="24"/>
          <w:lang w:val="en-US"/>
        </w:rPr>
        <w:t>Investicijų</w:t>
      </w:r>
      <w:proofErr w:type="spellEnd"/>
      <w:r w:rsidRPr="00CE285C">
        <w:rPr>
          <w:rFonts w:ascii="Times New Roman" w:hAnsi="Times New Roman"/>
          <w:bCs/>
          <w:sz w:val="24"/>
          <w:szCs w:val="24"/>
          <w:lang w:val="en-US"/>
        </w:rPr>
        <w:t xml:space="preserve"> </w:t>
      </w:r>
      <w:proofErr w:type="spellStart"/>
      <w:r w:rsidRPr="00CE285C">
        <w:rPr>
          <w:rFonts w:ascii="Times New Roman" w:hAnsi="Times New Roman"/>
          <w:bCs/>
          <w:sz w:val="24"/>
          <w:szCs w:val="24"/>
          <w:lang w:val="en-US"/>
        </w:rPr>
        <w:t>ir</w:t>
      </w:r>
      <w:proofErr w:type="spellEnd"/>
      <w:r w:rsidRPr="00CE285C">
        <w:rPr>
          <w:rFonts w:ascii="Times New Roman" w:hAnsi="Times New Roman"/>
          <w:bCs/>
          <w:sz w:val="24"/>
          <w:szCs w:val="24"/>
          <w:lang w:val="en-US"/>
        </w:rPr>
        <w:t xml:space="preserve"> </w:t>
      </w:r>
      <w:proofErr w:type="spellStart"/>
      <w:r w:rsidRPr="00CE285C">
        <w:rPr>
          <w:rFonts w:ascii="Times New Roman" w:hAnsi="Times New Roman"/>
          <w:bCs/>
          <w:sz w:val="24"/>
          <w:szCs w:val="24"/>
          <w:lang w:val="en-US"/>
        </w:rPr>
        <w:t>verslo</w:t>
      </w:r>
      <w:proofErr w:type="spellEnd"/>
      <w:r w:rsidRPr="00CE285C">
        <w:rPr>
          <w:rFonts w:ascii="Times New Roman" w:hAnsi="Times New Roman"/>
          <w:bCs/>
          <w:sz w:val="24"/>
          <w:szCs w:val="24"/>
          <w:lang w:val="en-US"/>
        </w:rPr>
        <w:t xml:space="preserve"> garantijos UAB</w:t>
      </w:r>
      <w:r w:rsidR="003B7F53">
        <w:rPr>
          <w:rFonts w:ascii="Times New Roman" w:hAnsi="Times New Roman"/>
          <w:bCs/>
          <w:sz w:val="24"/>
          <w:szCs w:val="24"/>
          <w:lang w:val="en-US"/>
        </w:rPr>
        <w:t>”</w:t>
      </w:r>
      <w:r w:rsidRPr="00CE285C">
        <w:rPr>
          <w:rFonts w:ascii="Times New Roman" w:hAnsi="Times New Roman"/>
          <w:bCs/>
          <w:sz w:val="24"/>
          <w:szCs w:val="24"/>
          <w:lang w:val="en-US"/>
        </w:rPr>
        <w:t>;</w:t>
      </w:r>
    </w:p>
    <w:p w14:paraId="028F169A" w14:textId="3ED44FE8" w:rsidR="00CE285C" w:rsidRPr="007A6F87" w:rsidRDefault="004E47A2" w:rsidP="00CE285C">
      <w:pPr>
        <w:tabs>
          <w:tab w:val="left" w:pos="1134"/>
        </w:tabs>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lang w:val="en-US"/>
        </w:rPr>
        <w:t xml:space="preserve"> -</w:t>
      </w:r>
      <w:r w:rsidRPr="00CE285C">
        <w:rPr>
          <w:rFonts w:ascii="Times New Roman" w:hAnsi="Times New Roman"/>
          <w:bCs/>
          <w:sz w:val="24"/>
          <w:szCs w:val="24"/>
          <w:lang w:val="en-US"/>
        </w:rPr>
        <w:tab/>
      </w:r>
      <w:bookmarkStart w:id="6" w:name="_Hlk37877404"/>
      <w:r w:rsidRPr="00CE285C">
        <w:rPr>
          <w:rFonts w:ascii="Times New Roman" w:hAnsi="Times New Roman"/>
          <w:bCs/>
          <w:sz w:val="24"/>
          <w:szCs w:val="24"/>
          <w:lang w:val="en-US"/>
        </w:rPr>
        <w:t xml:space="preserve">The TCIPG </w:t>
      </w:r>
      <w:r w:rsidR="003F2A4B">
        <w:rPr>
          <w:rFonts w:ascii="Times New Roman" w:hAnsi="Times New Roman"/>
          <w:bCs/>
          <w:sz w:val="24"/>
          <w:szCs w:val="24"/>
          <w:lang w:val="en-US"/>
        </w:rPr>
        <w:t>instrument</w:t>
      </w:r>
      <w:r w:rsidRPr="00CE285C">
        <w:rPr>
          <w:rFonts w:ascii="Times New Roman" w:hAnsi="Times New Roman"/>
          <w:bCs/>
          <w:sz w:val="24"/>
          <w:szCs w:val="24"/>
          <w:lang w:val="en-US"/>
        </w:rPr>
        <w:t xml:space="preserve"> scheme (hereinafter referred to as the TCIPG </w:t>
      </w:r>
      <w:r w:rsidR="003F2A4B">
        <w:rPr>
          <w:rFonts w:ascii="Times New Roman" w:hAnsi="Times New Roman"/>
          <w:bCs/>
          <w:sz w:val="24"/>
          <w:szCs w:val="24"/>
          <w:lang w:val="en-US"/>
        </w:rPr>
        <w:t>instrument</w:t>
      </w:r>
      <w:r w:rsidRPr="00CE285C">
        <w:rPr>
          <w:rFonts w:ascii="Times New Roman" w:hAnsi="Times New Roman"/>
          <w:bCs/>
          <w:sz w:val="24"/>
          <w:szCs w:val="24"/>
          <w:lang w:val="en-US"/>
        </w:rPr>
        <w:t xml:space="preserve"> scheme) approved by the Order No ...... of the Minister of Economy and Innovation of the Republic of Lithuania ......... “On the Approval of the Scheme of the Financial Incentive </w:t>
      </w:r>
      <w:r w:rsidR="003F2A4B">
        <w:rPr>
          <w:rFonts w:ascii="Times New Roman" w:hAnsi="Times New Roman"/>
          <w:bCs/>
          <w:sz w:val="24"/>
          <w:szCs w:val="24"/>
          <w:lang w:val="en-US"/>
        </w:rPr>
        <w:t>Instrument</w:t>
      </w:r>
      <w:r w:rsidRPr="00CE285C">
        <w:rPr>
          <w:rFonts w:ascii="Times New Roman" w:hAnsi="Times New Roman"/>
          <w:bCs/>
          <w:sz w:val="24"/>
          <w:szCs w:val="24"/>
          <w:lang w:val="en-US"/>
        </w:rPr>
        <w:t xml:space="preserve"> “Trade Credit Insurance Portfolio Guarantee”;</w:t>
      </w:r>
    </w:p>
    <w:bookmarkEnd w:id="6"/>
    <w:p w14:paraId="4662C39F" w14:textId="13E98C02" w:rsidR="00CE285C" w:rsidRPr="00CE285C" w:rsidRDefault="004E47A2" w:rsidP="00CE285C">
      <w:pPr>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lang w:val="en-US"/>
        </w:rPr>
        <w:t xml:space="preserve">- other legal acts, rules, recommendations, guidelines and amendments </w:t>
      </w:r>
      <w:r w:rsidR="002A0334">
        <w:rPr>
          <w:rFonts w:ascii="Times New Roman" w:hAnsi="Times New Roman"/>
          <w:bCs/>
          <w:sz w:val="24"/>
          <w:szCs w:val="24"/>
          <w:lang w:val="en-US"/>
        </w:rPr>
        <w:t xml:space="preserve">thereto </w:t>
      </w:r>
      <w:r w:rsidRPr="00CE285C">
        <w:rPr>
          <w:rFonts w:ascii="Times New Roman" w:hAnsi="Times New Roman"/>
          <w:bCs/>
          <w:sz w:val="24"/>
          <w:szCs w:val="24"/>
          <w:lang w:val="en-US"/>
        </w:rPr>
        <w:t xml:space="preserve">applicable to the implementation of the TCIPG </w:t>
      </w:r>
      <w:r w:rsidR="003F2A4B">
        <w:rPr>
          <w:rFonts w:ascii="Times New Roman" w:hAnsi="Times New Roman"/>
          <w:bCs/>
          <w:sz w:val="24"/>
          <w:szCs w:val="24"/>
          <w:lang w:val="en-US"/>
        </w:rPr>
        <w:t>instrument</w:t>
      </w:r>
      <w:r w:rsidRPr="00CE285C">
        <w:rPr>
          <w:rFonts w:ascii="Times New Roman" w:hAnsi="Times New Roman"/>
          <w:bCs/>
          <w:sz w:val="24"/>
          <w:szCs w:val="24"/>
          <w:lang w:val="en-US"/>
        </w:rPr>
        <w:t>.</w:t>
      </w:r>
    </w:p>
    <w:p w14:paraId="55F79503"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p>
    <w:p w14:paraId="161C744D" w14:textId="620C6B97" w:rsidR="00CE285C" w:rsidRPr="00CE285C" w:rsidRDefault="004E47A2" w:rsidP="00CE285C">
      <w:pPr>
        <w:autoSpaceDE w:val="0"/>
        <w:autoSpaceDN w:val="0"/>
        <w:adjustRightInd w:val="0"/>
        <w:spacing w:after="0" w:line="240" w:lineRule="auto"/>
        <w:jc w:val="center"/>
        <w:rPr>
          <w:rFonts w:ascii="Times New Roman" w:hAnsi="Times New Roman"/>
          <w:b/>
          <w:bCs/>
          <w:sz w:val="24"/>
          <w:szCs w:val="24"/>
        </w:rPr>
      </w:pPr>
      <w:r w:rsidRPr="00CE285C">
        <w:rPr>
          <w:rFonts w:ascii="Times New Roman" w:hAnsi="Times New Roman"/>
          <w:b/>
          <w:bCs/>
          <w:sz w:val="24"/>
          <w:szCs w:val="24"/>
          <w:lang w:val="en-US"/>
        </w:rPr>
        <w:t xml:space="preserve">2. </w:t>
      </w:r>
      <w:r w:rsidR="00BE4374">
        <w:rPr>
          <w:rFonts w:ascii="Times New Roman" w:hAnsi="Times New Roman"/>
          <w:b/>
          <w:bCs/>
          <w:sz w:val="24"/>
          <w:szCs w:val="24"/>
          <w:lang w:val="en-US"/>
        </w:rPr>
        <w:t>OBJECTIVE</w:t>
      </w:r>
      <w:r w:rsidRPr="00CE285C">
        <w:rPr>
          <w:rFonts w:ascii="Times New Roman" w:hAnsi="Times New Roman"/>
          <w:b/>
          <w:bCs/>
          <w:sz w:val="24"/>
          <w:szCs w:val="24"/>
          <w:lang w:val="en-US"/>
        </w:rPr>
        <w:t xml:space="preserve"> OF</w:t>
      </w:r>
      <w:bookmarkStart w:id="7" w:name="_Hlk35891224"/>
      <w:r w:rsidRPr="00CE285C">
        <w:rPr>
          <w:rFonts w:ascii="Times New Roman" w:hAnsi="Times New Roman"/>
          <w:b/>
          <w:bCs/>
          <w:sz w:val="24"/>
          <w:szCs w:val="24"/>
          <w:lang w:val="en-US"/>
        </w:rPr>
        <w:t xml:space="preserve"> THE CONTRACT ON THE TCIPG </w:t>
      </w:r>
      <w:r w:rsidR="003F2A4B">
        <w:rPr>
          <w:rFonts w:ascii="Times New Roman" w:hAnsi="Times New Roman"/>
          <w:b/>
          <w:bCs/>
          <w:sz w:val="24"/>
          <w:szCs w:val="24"/>
          <w:lang w:val="en-US"/>
        </w:rPr>
        <w:t>INSTRUMENT</w:t>
      </w:r>
      <w:r w:rsidRPr="00CE285C">
        <w:rPr>
          <w:rFonts w:ascii="Times New Roman" w:hAnsi="Times New Roman"/>
          <w:b/>
          <w:bCs/>
          <w:sz w:val="24"/>
          <w:szCs w:val="24"/>
          <w:lang w:val="en-US"/>
        </w:rPr>
        <w:t xml:space="preserve"> IMPLEMENTATION</w:t>
      </w:r>
      <w:bookmarkEnd w:id="7"/>
      <w:r w:rsidRPr="00CE285C">
        <w:rPr>
          <w:rFonts w:ascii="Times New Roman" w:hAnsi="Times New Roman"/>
          <w:b/>
          <w:bCs/>
          <w:sz w:val="24"/>
          <w:szCs w:val="24"/>
          <w:lang w:val="en-US"/>
        </w:rPr>
        <w:t xml:space="preserve"> </w:t>
      </w:r>
    </w:p>
    <w:p w14:paraId="5CA66A23"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
          <w:bCs/>
          <w:sz w:val="24"/>
          <w:szCs w:val="24"/>
        </w:rPr>
      </w:pPr>
    </w:p>
    <w:p w14:paraId="7742BB72" w14:textId="3C386D0A" w:rsidR="00CE285C" w:rsidRPr="00CE285C" w:rsidRDefault="004E47A2" w:rsidP="00CE285C">
      <w:pPr>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
          <w:bCs/>
          <w:sz w:val="24"/>
          <w:szCs w:val="24"/>
          <w:lang w:val="en-US"/>
        </w:rPr>
        <w:t xml:space="preserve">2.1. Detailed description of the </w:t>
      </w:r>
      <w:r w:rsidR="00BE4374">
        <w:rPr>
          <w:rFonts w:ascii="Times New Roman" w:hAnsi="Times New Roman"/>
          <w:b/>
          <w:bCs/>
          <w:sz w:val="24"/>
          <w:szCs w:val="24"/>
          <w:lang w:val="en-US"/>
        </w:rPr>
        <w:t>objective</w:t>
      </w:r>
      <w:r w:rsidRPr="00CE285C">
        <w:rPr>
          <w:rFonts w:ascii="Times New Roman" w:hAnsi="Times New Roman"/>
          <w:b/>
          <w:bCs/>
          <w:sz w:val="24"/>
          <w:szCs w:val="24"/>
          <w:lang w:val="en-US"/>
        </w:rPr>
        <w:t xml:space="preserve"> of the contract </w:t>
      </w:r>
      <w:r w:rsidR="00B45B9D">
        <w:rPr>
          <w:rFonts w:ascii="Times New Roman" w:hAnsi="Times New Roman"/>
          <w:b/>
          <w:bCs/>
          <w:sz w:val="24"/>
          <w:szCs w:val="24"/>
          <w:lang w:val="en-US"/>
        </w:rPr>
        <w:t>on</w:t>
      </w:r>
      <w:r w:rsidRPr="00CE285C">
        <w:rPr>
          <w:rFonts w:ascii="Times New Roman" w:hAnsi="Times New Roman"/>
          <w:b/>
          <w:bCs/>
          <w:sz w:val="24"/>
          <w:szCs w:val="24"/>
          <w:lang w:val="en-US"/>
        </w:rPr>
        <w:t xml:space="preserve"> the implementation of the TCIPG </w:t>
      </w:r>
      <w:r w:rsidR="003F2A4B">
        <w:rPr>
          <w:rFonts w:ascii="Times New Roman" w:hAnsi="Times New Roman"/>
          <w:b/>
          <w:bCs/>
          <w:sz w:val="24"/>
          <w:szCs w:val="24"/>
          <w:lang w:val="en-US"/>
        </w:rPr>
        <w:t>instrument</w:t>
      </w:r>
      <w:r>
        <w:rPr>
          <w:rFonts w:ascii="Times New Roman" w:hAnsi="Times New Roman"/>
          <w:b/>
          <w:bCs/>
          <w:sz w:val="24"/>
          <w:szCs w:val="24"/>
          <w:vertAlign w:val="superscript"/>
        </w:rPr>
        <w:footnoteReference w:id="3"/>
      </w:r>
      <w:r w:rsidRPr="00CE285C">
        <w:rPr>
          <w:rFonts w:ascii="Times New Roman" w:hAnsi="Times New Roman"/>
          <w:b/>
          <w:bCs/>
          <w:sz w:val="24"/>
          <w:szCs w:val="24"/>
          <w:lang w:val="en-US"/>
        </w:rPr>
        <w:t xml:space="preserve"> :</w:t>
      </w:r>
    </w:p>
    <w:p w14:paraId="561DF27C"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p>
    <w:p w14:paraId="55EC5271" w14:textId="7E51F6BA" w:rsidR="00CE285C" w:rsidRPr="00CE285C" w:rsidRDefault="004E47A2" w:rsidP="00CE285C">
      <w:pPr>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lang w:val="en-US"/>
        </w:rPr>
        <w:t xml:space="preserve">The </w:t>
      </w:r>
      <w:r w:rsidR="00B45B9D">
        <w:rPr>
          <w:rFonts w:ascii="Times New Roman" w:hAnsi="Times New Roman"/>
          <w:bCs/>
          <w:sz w:val="24"/>
          <w:szCs w:val="24"/>
          <w:lang w:val="en-US"/>
        </w:rPr>
        <w:t>P</w:t>
      </w:r>
      <w:r w:rsidRPr="00CE285C">
        <w:rPr>
          <w:rFonts w:ascii="Times New Roman" w:hAnsi="Times New Roman"/>
          <w:bCs/>
          <w:sz w:val="24"/>
          <w:szCs w:val="24"/>
          <w:lang w:val="en-US"/>
        </w:rPr>
        <w:t xml:space="preserve">ortfolio of Insurance </w:t>
      </w:r>
      <w:r w:rsidR="003D2BF0">
        <w:rPr>
          <w:rFonts w:ascii="Times New Roman" w:hAnsi="Times New Roman"/>
          <w:bCs/>
          <w:sz w:val="24"/>
          <w:szCs w:val="24"/>
          <w:lang w:val="en-US"/>
        </w:rPr>
        <w:t>c</w:t>
      </w:r>
      <w:r w:rsidRPr="00CE285C">
        <w:rPr>
          <w:rFonts w:ascii="Times New Roman" w:hAnsi="Times New Roman"/>
          <w:bCs/>
          <w:sz w:val="24"/>
          <w:szCs w:val="24"/>
          <w:lang w:val="en-US"/>
        </w:rPr>
        <w:t xml:space="preserve">ontracts that meet the Eligibility </w:t>
      </w:r>
      <w:r w:rsidR="003D2BF0">
        <w:rPr>
          <w:rFonts w:ascii="Times New Roman" w:hAnsi="Times New Roman"/>
          <w:bCs/>
          <w:sz w:val="24"/>
          <w:szCs w:val="24"/>
          <w:lang w:val="en-US"/>
        </w:rPr>
        <w:t>c</w:t>
      </w:r>
      <w:r w:rsidRPr="00CE285C">
        <w:rPr>
          <w:rFonts w:ascii="Times New Roman" w:hAnsi="Times New Roman"/>
          <w:bCs/>
          <w:sz w:val="24"/>
          <w:szCs w:val="24"/>
          <w:lang w:val="en-US"/>
        </w:rPr>
        <w:t xml:space="preserve">onditions of the </w:t>
      </w:r>
      <w:r w:rsidR="003F2A4B">
        <w:rPr>
          <w:rFonts w:ascii="Times New Roman" w:hAnsi="Times New Roman"/>
          <w:bCs/>
          <w:sz w:val="24"/>
          <w:szCs w:val="24"/>
          <w:lang w:val="en-US"/>
        </w:rPr>
        <w:t>instrument</w:t>
      </w:r>
      <w:r w:rsidRPr="00CE285C">
        <w:rPr>
          <w:rFonts w:ascii="Times New Roman" w:hAnsi="Times New Roman"/>
          <w:bCs/>
          <w:sz w:val="24"/>
          <w:szCs w:val="24"/>
          <w:lang w:val="en-US"/>
        </w:rPr>
        <w:t xml:space="preserve"> (hereinafter referred to as the Insurance </w:t>
      </w:r>
      <w:r w:rsidR="003D2BF0">
        <w:rPr>
          <w:rFonts w:ascii="Times New Roman" w:hAnsi="Times New Roman"/>
          <w:bCs/>
          <w:sz w:val="24"/>
          <w:szCs w:val="24"/>
          <w:lang w:val="en-US"/>
        </w:rPr>
        <w:t>p</w:t>
      </w:r>
      <w:r w:rsidRPr="00CE285C">
        <w:rPr>
          <w:rFonts w:ascii="Times New Roman" w:hAnsi="Times New Roman"/>
          <w:bCs/>
          <w:sz w:val="24"/>
          <w:szCs w:val="24"/>
          <w:lang w:val="en-US"/>
        </w:rPr>
        <w:t xml:space="preserve">ortfolio) formed by each selected TCIPG </w:t>
      </w:r>
      <w:r w:rsidR="003F2A4B">
        <w:rPr>
          <w:rFonts w:ascii="Times New Roman" w:hAnsi="Times New Roman"/>
          <w:bCs/>
          <w:sz w:val="24"/>
          <w:szCs w:val="24"/>
          <w:lang w:val="en-US"/>
        </w:rPr>
        <w:t>Instrument</w:t>
      </w:r>
      <w:r w:rsidRPr="00CE285C">
        <w:rPr>
          <w:rFonts w:ascii="Times New Roman" w:hAnsi="Times New Roman"/>
          <w:bCs/>
          <w:sz w:val="24"/>
          <w:szCs w:val="24"/>
          <w:lang w:val="en-US"/>
        </w:rPr>
        <w:t xml:space="preserve"> </w:t>
      </w:r>
      <w:r w:rsidR="009250A4">
        <w:rPr>
          <w:rFonts w:ascii="Times New Roman" w:hAnsi="Times New Roman"/>
          <w:bCs/>
          <w:sz w:val="24"/>
          <w:szCs w:val="24"/>
          <w:lang w:val="en-US"/>
        </w:rPr>
        <w:t>m</w:t>
      </w:r>
      <w:r w:rsidRPr="00CE285C">
        <w:rPr>
          <w:rFonts w:ascii="Times New Roman" w:hAnsi="Times New Roman"/>
          <w:bCs/>
          <w:sz w:val="24"/>
          <w:szCs w:val="24"/>
          <w:lang w:val="en-US"/>
        </w:rPr>
        <w:t xml:space="preserve">anager </w:t>
      </w:r>
      <w:r w:rsidR="00B45B9D">
        <w:rPr>
          <w:rFonts w:ascii="Times New Roman" w:hAnsi="Times New Roman"/>
          <w:bCs/>
          <w:sz w:val="24"/>
          <w:szCs w:val="24"/>
          <w:lang w:val="en-US"/>
        </w:rPr>
        <w:t>shall be</w:t>
      </w:r>
      <w:r w:rsidRPr="00CE285C">
        <w:rPr>
          <w:rFonts w:ascii="Times New Roman" w:hAnsi="Times New Roman"/>
          <w:bCs/>
          <w:sz w:val="24"/>
          <w:szCs w:val="24"/>
          <w:lang w:val="en-US"/>
        </w:rPr>
        <w:t xml:space="preserve"> provided with a trade credit insurance portfolio guarantee (hereinafter referred to as the Guarantee), which reduces the exposure to loss of the Insurer's Insurance </w:t>
      </w:r>
      <w:r w:rsidR="003D2BF0">
        <w:rPr>
          <w:rFonts w:ascii="Times New Roman" w:hAnsi="Times New Roman"/>
          <w:bCs/>
          <w:sz w:val="24"/>
          <w:szCs w:val="24"/>
          <w:lang w:val="en-US"/>
        </w:rPr>
        <w:t>p</w:t>
      </w:r>
      <w:r w:rsidRPr="00CE285C">
        <w:rPr>
          <w:rFonts w:ascii="Times New Roman" w:hAnsi="Times New Roman"/>
          <w:bCs/>
          <w:sz w:val="24"/>
          <w:szCs w:val="24"/>
          <w:lang w:val="en-US"/>
        </w:rPr>
        <w:t xml:space="preserve">ortfolio. </w:t>
      </w:r>
    </w:p>
    <w:p w14:paraId="66239942" w14:textId="21513932" w:rsidR="00B33D01" w:rsidRPr="007A6F87" w:rsidRDefault="004E47A2" w:rsidP="00B33D01">
      <w:pPr>
        <w:tabs>
          <w:tab w:val="left" w:pos="993"/>
        </w:tabs>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lang w:val="en-US"/>
        </w:rPr>
        <w:tab/>
        <w:t xml:space="preserve">The Insurance </w:t>
      </w:r>
      <w:r w:rsidR="003D2BF0">
        <w:rPr>
          <w:rFonts w:ascii="Times New Roman" w:hAnsi="Times New Roman"/>
          <w:bCs/>
          <w:sz w:val="24"/>
          <w:szCs w:val="24"/>
          <w:lang w:val="en-US"/>
        </w:rPr>
        <w:t>p</w:t>
      </w:r>
      <w:r>
        <w:rPr>
          <w:rFonts w:ascii="Times New Roman" w:hAnsi="Times New Roman"/>
          <w:bCs/>
          <w:sz w:val="24"/>
          <w:szCs w:val="24"/>
          <w:lang w:val="en-US"/>
        </w:rPr>
        <w:t xml:space="preserve">ortfolios of TCIPG </w:t>
      </w:r>
      <w:r w:rsidR="003F2A4B">
        <w:rPr>
          <w:rFonts w:ascii="Times New Roman" w:hAnsi="Times New Roman"/>
          <w:bCs/>
          <w:sz w:val="24"/>
          <w:szCs w:val="24"/>
          <w:lang w:val="en-US"/>
        </w:rPr>
        <w:t>instrument</w:t>
      </w:r>
      <w:r>
        <w:rPr>
          <w:rFonts w:ascii="Times New Roman" w:hAnsi="Times New Roman"/>
          <w:bCs/>
          <w:sz w:val="24"/>
          <w:szCs w:val="24"/>
          <w:lang w:val="en-US"/>
        </w:rPr>
        <w:t xml:space="preserve"> managers </w:t>
      </w:r>
      <w:r w:rsidR="0029282E">
        <w:rPr>
          <w:rFonts w:ascii="Times New Roman" w:hAnsi="Times New Roman"/>
          <w:bCs/>
          <w:sz w:val="24"/>
          <w:szCs w:val="24"/>
          <w:lang w:val="en-US"/>
        </w:rPr>
        <w:t>which</w:t>
      </w:r>
      <w:r>
        <w:rPr>
          <w:rFonts w:ascii="Times New Roman" w:hAnsi="Times New Roman"/>
          <w:bCs/>
          <w:sz w:val="24"/>
          <w:szCs w:val="24"/>
          <w:lang w:val="en-US"/>
        </w:rPr>
        <w:t xml:space="preserve"> meet the eligibility conditions of the TCIPG </w:t>
      </w:r>
      <w:r w:rsidR="003F2A4B">
        <w:rPr>
          <w:rFonts w:ascii="Times New Roman" w:hAnsi="Times New Roman"/>
          <w:bCs/>
          <w:sz w:val="24"/>
          <w:szCs w:val="24"/>
          <w:lang w:val="en-US"/>
        </w:rPr>
        <w:t>instrument</w:t>
      </w:r>
      <w:r>
        <w:rPr>
          <w:rFonts w:ascii="Times New Roman" w:hAnsi="Times New Roman"/>
          <w:bCs/>
          <w:sz w:val="24"/>
          <w:szCs w:val="24"/>
          <w:lang w:val="en-US"/>
        </w:rPr>
        <w:t xml:space="preserve"> shall be guaranteed </w:t>
      </w:r>
      <w:r w:rsidR="00B45B9D">
        <w:rPr>
          <w:rFonts w:ascii="Times New Roman" w:hAnsi="Times New Roman"/>
          <w:bCs/>
          <w:sz w:val="24"/>
          <w:szCs w:val="24"/>
          <w:lang w:val="en-US"/>
        </w:rPr>
        <w:t xml:space="preserve">by </w:t>
      </w:r>
      <w:r>
        <w:rPr>
          <w:rFonts w:ascii="Times New Roman" w:hAnsi="Times New Roman"/>
          <w:bCs/>
          <w:sz w:val="24"/>
          <w:szCs w:val="24"/>
          <w:lang w:val="en-US"/>
        </w:rPr>
        <w:t xml:space="preserve">90% up to the first loss limit, and the total loss coverage volume shall not exceed the volumes defined in the section “Maximum loss coverage volume up to the first loss threshold" of Annex 1 of the Description. TCIPG </w:t>
      </w:r>
      <w:r w:rsidR="003F2A4B">
        <w:rPr>
          <w:rFonts w:ascii="Times New Roman" w:hAnsi="Times New Roman"/>
          <w:bCs/>
          <w:sz w:val="24"/>
          <w:szCs w:val="24"/>
          <w:lang w:val="en-US"/>
        </w:rPr>
        <w:t>instrument</w:t>
      </w:r>
      <w:r>
        <w:rPr>
          <w:rFonts w:ascii="Times New Roman" w:hAnsi="Times New Roman"/>
          <w:bCs/>
          <w:sz w:val="24"/>
          <w:szCs w:val="24"/>
          <w:lang w:val="en-US"/>
        </w:rPr>
        <w:t xml:space="preserve"> managers assume at least 10% of claims ratio of the formed Insurance </w:t>
      </w:r>
      <w:r w:rsidR="003D2BF0">
        <w:rPr>
          <w:rFonts w:ascii="Times New Roman" w:hAnsi="Times New Roman"/>
          <w:bCs/>
          <w:sz w:val="24"/>
          <w:szCs w:val="24"/>
          <w:lang w:val="en-US"/>
        </w:rPr>
        <w:t>p</w:t>
      </w:r>
      <w:r>
        <w:rPr>
          <w:rFonts w:ascii="Times New Roman" w:hAnsi="Times New Roman"/>
          <w:bCs/>
          <w:sz w:val="24"/>
          <w:szCs w:val="24"/>
          <w:lang w:val="en-US"/>
        </w:rPr>
        <w:t>ortfolio.</w:t>
      </w:r>
    </w:p>
    <w:p w14:paraId="7EBB5B81" w14:textId="1331A8B7" w:rsidR="00B33D01" w:rsidRPr="007A6F87" w:rsidRDefault="004E47A2" w:rsidP="00B33D01">
      <w:pPr>
        <w:tabs>
          <w:tab w:val="left" w:pos="993"/>
        </w:tabs>
        <w:autoSpaceDE w:val="0"/>
        <w:autoSpaceDN w:val="0"/>
        <w:adjustRightInd w:val="0"/>
        <w:spacing w:after="0" w:line="240" w:lineRule="auto"/>
        <w:jc w:val="both"/>
        <w:rPr>
          <w:rFonts w:ascii="Times New Roman" w:hAnsi="Times New Roman"/>
          <w:bCs/>
          <w:sz w:val="24"/>
          <w:szCs w:val="24"/>
        </w:rPr>
      </w:pPr>
      <w:r w:rsidRPr="007A6F87">
        <w:rPr>
          <w:rFonts w:ascii="Times New Roman" w:hAnsi="Times New Roman"/>
          <w:bCs/>
          <w:sz w:val="24"/>
          <w:szCs w:val="24"/>
          <w:lang w:val="en-US"/>
        </w:rPr>
        <w:tab/>
        <w:t xml:space="preserve">When the first loss threshold is exceeded the </w:t>
      </w:r>
      <w:r w:rsidR="00B45B9D">
        <w:rPr>
          <w:rFonts w:ascii="Times New Roman" w:hAnsi="Times New Roman"/>
          <w:bCs/>
          <w:sz w:val="24"/>
          <w:szCs w:val="24"/>
          <w:lang w:val="en-US"/>
        </w:rPr>
        <w:t>G</w:t>
      </w:r>
      <w:r w:rsidRPr="007A6F87">
        <w:rPr>
          <w:rFonts w:ascii="Times New Roman" w:hAnsi="Times New Roman"/>
          <w:bCs/>
          <w:sz w:val="24"/>
          <w:szCs w:val="24"/>
          <w:lang w:val="en-US"/>
        </w:rPr>
        <w:t xml:space="preserve">uarantee </w:t>
      </w:r>
      <w:r w:rsidR="00B45B9D">
        <w:rPr>
          <w:rFonts w:ascii="Times New Roman" w:hAnsi="Times New Roman"/>
          <w:bCs/>
          <w:sz w:val="24"/>
          <w:szCs w:val="24"/>
          <w:lang w:val="en-US"/>
        </w:rPr>
        <w:t>shall amount to</w:t>
      </w:r>
      <w:r w:rsidRPr="007A6F87">
        <w:rPr>
          <w:rFonts w:ascii="Times New Roman" w:hAnsi="Times New Roman"/>
          <w:bCs/>
          <w:sz w:val="24"/>
          <w:szCs w:val="24"/>
          <w:lang w:val="en-US"/>
        </w:rPr>
        <w:t xml:space="preserve"> 100%. The coverage volume for the Insurance </w:t>
      </w:r>
      <w:r w:rsidR="003D2BF0">
        <w:rPr>
          <w:rFonts w:ascii="Times New Roman" w:hAnsi="Times New Roman"/>
          <w:bCs/>
          <w:sz w:val="24"/>
          <w:szCs w:val="24"/>
          <w:lang w:val="en-US"/>
        </w:rPr>
        <w:t>p</w:t>
      </w:r>
      <w:r w:rsidRPr="007A6F87">
        <w:rPr>
          <w:rFonts w:ascii="Times New Roman" w:hAnsi="Times New Roman"/>
          <w:bCs/>
          <w:sz w:val="24"/>
          <w:szCs w:val="24"/>
          <w:lang w:val="en-US"/>
        </w:rPr>
        <w:t>ortfolio and the total loss coverage volume shall not exceed the amount described in the section “Maximum loss coverage volume up to the second loss threshold” of Annex 1 of the Description.</w:t>
      </w:r>
    </w:p>
    <w:p w14:paraId="74B25E98" w14:textId="55EFCDDA" w:rsidR="00CE285C" w:rsidRPr="00CE285C" w:rsidRDefault="004E47A2" w:rsidP="00CE285C">
      <w:pPr>
        <w:autoSpaceDE w:val="0"/>
        <w:autoSpaceDN w:val="0"/>
        <w:adjustRightInd w:val="0"/>
        <w:spacing w:after="0" w:line="240" w:lineRule="auto"/>
        <w:ind w:firstLine="851"/>
        <w:jc w:val="both"/>
        <w:rPr>
          <w:rFonts w:ascii="Times New Roman" w:hAnsi="Times New Roman"/>
          <w:bCs/>
          <w:sz w:val="24"/>
          <w:szCs w:val="24"/>
        </w:rPr>
      </w:pPr>
      <w:r w:rsidRPr="002F19E8">
        <w:rPr>
          <w:rFonts w:ascii="Times New Roman" w:hAnsi="Times New Roman"/>
          <w:sz w:val="24"/>
          <w:szCs w:val="24"/>
          <w:lang w:val="en-US"/>
        </w:rPr>
        <w:t xml:space="preserve">The Insurer shall cover the losses to the Policyholder and apply to Invega for a partial compensation of losses not more than once a month. Invega shall make a decision to compensate the Insurer for </w:t>
      </w:r>
      <w:r w:rsidR="00B45B9D">
        <w:rPr>
          <w:rFonts w:ascii="Times New Roman" w:hAnsi="Times New Roman"/>
          <w:sz w:val="24"/>
          <w:szCs w:val="24"/>
          <w:lang w:val="en-US"/>
        </w:rPr>
        <w:t xml:space="preserve">its </w:t>
      </w:r>
      <w:r w:rsidRPr="002F19E8">
        <w:rPr>
          <w:rFonts w:ascii="Times New Roman" w:hAnsi="Times New Roman"/>
          <w:sz w:val="24"/>
          <w:szCs w:val="24"/>
          <w:lang w:val="en-US"/>
        </w:rPr>
        <w:t xml:space="preserve">losses within </w:t>
      </w:r>
      <w:r w:rsidR="00B90526">
        <w:rPr>
          <w:rFonts w:ascii="Times New Roman" w:hAnsi="Times New Roman"/>
          <w:sz w:val="24"/>
          <w:szCs w:val="24"/>
          <w:lang w:val="en-US"/>
        </w:rPr>
        <w:t>3</w:t>
      </w:r>
      <w:r w:rsidRPr="002F19E8">
        <w:rPr>
          <w:rFonts w:ascii="Times New Roman" w:hAnsi="Times New Roman"/>
          <w:sz w:val="24"/>
          <w:szCs w:val="24"/>
          <w:lang w:val="en-US"/>
        </w:rPr>
        <w:t xml:space="preserve">0 </w:t>
      </w:r>
      <w:r w:rsidR="00282A98">
        <w:rPr>
          <w:rFonts w:ascii="Times New Roman" w:hAnsi="Times New Roman"/>
          <w:sz w:val="24"/>
          <w:szCs w:val="24"/>
          <w:lang w:val="en-US"/>
        </w:rPr>
        <w:t>working</w:t>
      </w:r>
      <w:r w:rsidRPr="002F19E8">
        <w:rPr>
          <w:rFonts w:ascii="Times New Roman" w:hAnsi="Times New Roman"/>
          <w:sz w:val="24"/>
          <w:szCs w:val="24"/>
          <w:lang w:val="en-US"/>
        </w:rPr>
        <w:t xml:space="preserve"> days.</w:t>
      </w:r>
    </w:p>
    <w:p w14:paraId="79E3DB6F" w14:textId="14B99182" w:rsidR="00BC484C" w:rsidRDefault="004E47A2" w:rsidP="00CE285C">
      <w:pPr>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lang w:val="en-US"/>
        </w:rPr>
        <w:t xml:space="preserve">The detailed Insurance </w:t>
      </w:r>
      <w:r w:rsidR="003D2BF0">
        <w:rPr>
          <w:rFonts w:ascii="Times New Roman" w:hAnsi="Times New Roman"/>
          <w:bCs/>
          <w:sz w:val="24"/>
          <w:szCs w:val="24"/>
          <w:lang w:val="en-US"/>
        </w:rPr>
        <w:t>p</w:t>
      </w:r>
      <w:r w:rsidRPr="00CE285C">
        <w:rPr>
          <w:rFonts w:ascii="Times New Roman" w:hAnsi="Times New Roman"/>
          <w:bCs/>
          <w:sz w:val="24"/>
          <w:szCs w:val="24"/>
          <w:lang w:val="en-US"/>
        </w:rPr>
        <w:t xml:space="preserve">ortfolio </w:t>
      </w:r>
      <w:r w:rsidR="00B90526">
        <w:rPr>
          <w:rFonts w:ascii="Times New Roman" w:hAnsi="Times New Roman"/>
          <w:bCs/>
          <w:sz w:val="24"/>
          <w:szCs w:val="24"/>
          <w:lang w:val="en-US"/>
        </w:rPr>
        <w:t>r</w:t>
      </w:r>
      <w:r w:rsidRPr="00CE285C">
        <w:rPr>
          <w:rFonts w:ascii="Times New Roman" w:hAnsi="Times New Roman"/>
          <w:bCs/>
          <w:sz w:val="24"/>
          <w:szCs w:val="24"/>
          <w:lang w:val="en-US"/>
        </w:rPr>
        <w:t xml:space="preserve">eport shall be prepared quarterly and submitted no later than within 30 calendar days after the end of the reporting quarter. </w:t>
      </w:r>
    </w:p>
    <w:p w14:paraId="31642540" w14:textId="77777777" w:rsidR="00B11FC7" w:rsidRPr="00B11FC7" w:rsidRDefault="00B11FC7" w:rsidP="00B11FC7">
      <w:pPr>
        <w:pStyle w:val="ListParagraph"/>
        <w:numPr>
          <w:ilvl w:val="1"/>
          <w:numId w:val="29"/>
        </w:numPr>
        <w:tabs>
          <w:tab w:val="left" w:pos="851"/>
        </w:tabs>
        <w:autoSpaceDE w:val="0"/>
        <w:autoSpaceDN w:val="0"/>
        <w:adjustRightInd w:val="0"/>
        <w:spacing w:after="0" w:line="240" w:lineRule="auto"/>
        <w:ind w:left="0" w:firstLine="426"/>
        <w:jc w:val="both"/>
        <w:rPr>
          <w:rFonts w:ascii="Times New Roman" w:hAnsi="Times New Roman"/>
          <w:bCs/>
          <w:sz w:val="24"/>
          <w:szCs w:val="24"/>
        </w:rPr>
      </w:pPr>
      <w:r>
        <w:rPr>
          <w:rFonts w:ascii="Times New Roman" w:hAnsi="Times New Roman"/>
          <w:sz w:val="24"/>
          <w:szCs w:val="24"/>
          <w:lang w:val="en-US"/>
        </w:rPr>
        <w:t xml:space="preserve"> </w:t>
      </w:r>
      <w:r w:rsidR="004E47A2" w:rsidRPr="00B11FC7">
        <w:rPr>
          <w:rFonts w:ascii="Times New Roman" w:hAnsi="Times New Roman"/>
          <w:sz w:val="24"/>
          <w:szCs w:val="24"/>
          <w:lang w:val="en-US"/>
        </w:rPr>
        <w:t xml:space="preserve">The manager of the TCIPG </w:t>
      </w:r>
      <w:r w:rsidR="003F2A4B" w:rsidRPr="00B11FC7">
        <w:rPr>
          <w:rFonts w:ascii="Times New Roman" w:hAnsi="Times New Roman"/>
          <w:sz w:val="24"/>
          <w:szCs w:val="24"/>
          <w:lang w:val="en-US"/>
        </w:rPr>
        <w:t>instrument</w:t>
      </w:r>
      <w:r w:rsidR="004E47A2" w:rsidRPr="00B11FC7">
        <w:rPr>
          <w:rFonts w:ascii="Times New Roman" w:hAnsi="Times New Roman"/>
          <w:sz w:val="24"/>
          <w:szCs w:val="24"/>
          <w:lang w:val="en-US"/>
        </w:rPr>
        <w:t xml:space="preserve"> shall transfer </w:t>
      </w:r>
      <w:r w:rsidR="00B45B9D" w:rsidRPr="00B11FC7">
        <w:rPr>
          <w:rFonts w:ascii="Times New Roman" w:hAnsi="Times New Roman"/>
          <w:sz w:val="24"/>
          <w:szCs w:val="24"/>
          <w:lang w:val="en-US"/>
        </w:rPr>
        <w:t xml:space="preserve">to the INVEGA </w:t>
      </w:r>
      <w:r w:rsidR="001C575D" w:rsidRPr="00B11FC7">
        <w:rPr>
          <w:rFonts w:ascii="Times New Roman" w:hAnsi="Times New Roman"/>
          <w:sz w:val="24"/>
          <w:szCs w:val="24"/>
          <w:lang w:val="en-US"/>
        </w:rPr>
        <w:t>f</w:t>
      </w:r>
      <w:r w:rsidR="00B45B9D" w:rsidRPr="00B11FC7">
        <w:rPr>
          <w:rFonts w:ascii="Times New Roman" w:hAnsi="Times New Roman"/>
          <w:sz w:val="24"/>
          <w:szCs w:val="24"/>
          <w:lang w:val="en-US"/>
        </w:rPr>
        <w:t xml:space="preserve">und </w:t>
      </w:r>
      <w:r w:rsidR="004E47A2" w:rsidRPr="00B11FC7">
        <w:rPr>
          <w:rFonts w:ascii="Times New Roman" w:hAnsi="Times New Roman"/>
          <w:sz w:val="24"/>
          <w:szCs w:val="24"/>
          <w:lang w:val="en-US"/>
        </w:rPr>
        <w:t xml:space="preserve">insurance premiums for all Insurance </w:t>
      </w:r>
      <w:r w:rsidR="003D2BF0" w:rsidRPr="00B11FC7">
        <w:rPr>
          <w:rFonts w:ascii="Times New Roman" w:hAnsi="Times New Roman"/>
          <w:sz w:val="24"/>
          <w:szCs w:val="24"/>
          <w:lang w:val="en-US"/>
        </w:rPr>
        <w:t>c</w:t>
      </w:r>
      <w:r w:rsidR="004E47A2" w:rsidRPr="00B11FC7">
        <w:rPr>
          <w:rFonts w:ascii="Times New Roman" w:hAnsi="Times New Roman"/>
          <w:sz w:val="24"/>
          <w:szCs w:val="24"/>
          <w:lang w:val="en-US"/>
        </w:rPr>
        <w:t xml:space="preserve">ontracts included in the Insurance </w:t>
      </w:r>
      <w:r w:rsidR="003D2BF0" w:rsidRPr="00B11FC7">
        <w:rPr>
          <w:rFonts w:ascii="Times New Roman" w:hAnsi="Times New Roman"/>
          <w:sz w:val="24"/>
          <w:szCs w:val="24"/>
          <w:lang w:val="en-US"/>
        </w:rPr>
        <w:t>p</w:t>
      </w:r>
      <w:r w:rsidR="004E47A2" w:rsidRPr="00B11FC7">
        <w:rPr>
          <w:rFonts w:ascii="Times New Roman" w:hAnsi="Times New Roman"/>
          <w:sz w:val="24"/>
          <w:szCs w:val="24"/>
          <w:lang w:val="en-US"/>
        </w:rPr>
        <w:t xml:space="preserve">ortfolio in 2020. </w:t>
      </w:r>
    </w:p>
    <w:p w14:paraId="2DA64CDC" w14:textId="222459E4" w:rsidR="00DA3AAA" w:rsidRPr="00B11FC7" w:rsidRDefault="004E47A2" w:rsidP="00B11FC7">
      <w:pPr>
        <w:pStyle w:val="ListParagraph"/>
        <w:numPr>
          <w:ilvl w:val="1"/>
          <w:numId w:val="29"/>
        </w:numPr>
        <w:tabs>
          <w:tab w:val="left" w:pos="851"/>
        </w:tabs>
        <w:autoSpaceDE w:val="0"/>
        <w:autoSpaceDN w:val="0"/>
        <w:adjustRightInd w:val="0"/>
        <w:spacing w:after="0" w:line="240" w:lineRule="auto"/>
        <w:ind w:left="0" w:firstLine="426"/>
        <w:jc w:val="both"/>
        <w:rPr>
          <w:rFonts w:ascii="Times New Roman" w:hAnsi="Times New Roman"/>
          <w:bCs/>
          <w:sz w:val="24"/>
          <w:szCs w:val="24"/>
        </w:rPr>
      </w:pPr>
      <w:r w:rsidRPr="00B11FC7">
        <w:rPr>
          <w:rFonts w:ascii="Times New Roman" w:hAnsi="Times New Roman"/>
          <w:bCs/>
          <w:sz w:val="24"/>
          <w:szCs w:val="24"/>
          <w:lang w:val="en-US"/>
        </w:rPr>
        <w:lastRenderedPageBreak/>
        <w:t xml:space="preserve">For the implementation of the TCIPG </w:t>
      </w:r>
      <w:r w:rsidR="003F2A4B" w:rsidRPr="00B11FC7">
        <w:rPr>
          <w:rFonts w:ascii="Times New Roman" w:hAnsi="Times New Roman"/>
          <w:bCs/>
          <w:sz w:val="24"/>
          <w:szCs w:val="24"/>
          <w:lang w:val="en-US"/>
        </w:rPr>
        <w:t>instrument</w:t>
      </w:r>
      <w:r w:rsidRPr="00B11FC7">
        <w:rPr>
          <w:rFonts w:ascii="Times New Roman" w:hAnsi="Times New Roman"/>
          <w:bCs/>
          <w:sz w:val="24"/>
          <w:szCs w:val="24"/>
          <w:lang w:val="en-US"/>
        </w:rPr>
        <w:t xml:space="preserve">, Invega shall reimburse the manager of the TCIPG </w:t>
      </w:r>
      <w:r w:rsidR="003F2A4B" w:rsidRPr="00B11FC7">
        <w:rPr>
          <w:rFonts w:ascii="Times New Roman" w:hAnsi="Times New Roman"/>
          <w:bCs/>
          <w:sz w:val="24"/>
          <w:szCs w:val="24"/>
          <w:lang w:val="en-US"/>
        </w:rPr>
        <w:t>instrument</w:t>
      </w:r>
      <w:r w:rsidRPr="00B11FC7">
        <w:rPr>
          <w:rFonts w:ascii="Times New Roman" w:hAnsi="Times New Roman"/>
          <w:bCs/>
          <w:sz w:val="24"/>
          <w:szCs w:val="24"/>
          <w:lang w:val="en-US"/>
        </w:rPr>
        <w:t xml:space="preserve"> </w:t>
      </w:r>
      <w:r w:rsidR="00B45B9D" w:rsidRPr="00B11FC7">
        <w:rPr>
          <w:rFonts w:ascii="Times New Roman" w:hAnsi="Times New Roman"/>
          <w:bCs/>
          <w:sz w:val="24"/>
          <w:szCs w:val="24"/>
          <w:lang w:val="en-US"/>
        </w:rPr>
        <w:t xml:space="preserve">for its </w:t>
      </w:r>
      <w:r w:rsidRPr="00B11FC7">
        <w:rPr>
          <w:rFonts w:ascii="Times New Roman" w:hAnsi="Times New Roman"/>
          <w:bCs/>
          <w:sz w:val="24"/>
          <w:szCs w:val="24"/>
          <w:lang w:val="en-US"/>
        </w:rPr>
        <w:t xml:space="preserve">administration costs in the amount of 35% </w:t>
      </w:r>
      <w:r w:rsidR="00B11FC7" w:rsidRPr="00CE285C">
        <w:rPr>
          <w:rFonts w:ascii="Times New Roman" w:hAnsi="Times New Roman"/>
          <w:bCs/>
          <w:sz w:val="24"/>
          <w:szCs w:val="24"/>
          <w:lang w:val="en-US"/>
        </w:rPr>
        <w:t xml:space="preserve">from all </w:t>
      </w:r>
      <w:r w:rsidR="00B11FC7" w:rsidRPr="00C35618">
        <w:rPr>
          <w:rFonts w:ascii="Times New Roman" w:hAnsi="Times New Roman"/>
          <w:bCs/>
          <w:sz w:val="24"/>
          <w:szCs w:val="24"/>
          <w:lang w:val="en-US"/>
        </w:rPr>
        <w:t xml:space="preserve">insurance premiums of Insurance </w:t>
      </w:r>
      <w:r w:rsidR="00B11FC7">
        <w:rPr>
          <w:rFonts w:ascii="Times New Roman" w:hAnsi="Times New Roman"/>
          <w:bCs/>
          <w:sz w:val="24"/>
          <w:szCs w:val="24"/>
          <w:lang w:val="en-US"/>
        </w:rPr>
        <w:t>c</w:t>
      </w:r>
      <w:r w:rsidR="00B11FC7" w:rsidRPr="00C35618">
        <w:rPr>
          <w:rFonts w:ascii="Times New Roman" w:hAnsi="Times New Roman"/>
          <w:bCs/>
          <w:sz w:val="24"/>
          <w:szCs w:val="24"/>
          <w:lang w:val="en-US"/>
        </w:rPr>
        <w:t xml:space="preserve">ontracts included in the Insurance </w:t>
      </w:r>
      <w:r w:rsidR="00B11FC7">
        <w:rPr>
          <w:rFonts w:ascii="Times New Roman" w:hAnsi="Times New Roman"/>
          <w:bCs/>
          <w:sz w:val="24"/>
          <w:szCs w:val="24"/>
          <w:lang w:val="en-US"/>
        </w:rPr>
        <w:t>p</w:t>
      </w:r>
      <w:r w:rsidR="00B11FC7" w:rsidRPr="00C35618">
        <w:rPr>
          <w:rFonts w:ascii="Times New Roman" w:hAnsi="Times New Roman"/>
          <w:bCs/>
          <w:sz w:val="24"/>
          <w:szCs w:val="24"/>
          <w:lang w:val="en-US"/>
        </w:rPr>
        <w:t>ortfolio in 2020</w:t>
      </w:r>
      <w:r w:rsidRPr="00B11FC7">
        <w:rPr>
          <w:rFonts w:ascii="Times New Roman" w:hAnsi="Times New Roman"/>
          <w:bCs/>
          <w:sz w:val="24"/>
          <w:szCs w:val="24"/>
          <w:lang w:val="en-US"/>
        </w:rPr>
        <w:t>.</w:t>
      </w:r>
    </w:p>
    <w:p w14:paraId="18ABED00" w14:textId="6799358D" w:rsidR="00B33D01" w:rsidRDefault="00B33D01" w:rsidP="00CE285C">
      <w:pPr>
        <w:autoSpaceDE w:val="0"/>
        <w:autoSpaceDN w:val="0"/>
        <w:adjustRightInd w:val="0"/>
        <w:spacing w:after="0" w:line="240" w:lineRule="auto"/>
        <w:ind w:firstLine="851"/>
        <w:jc w:val="both"/>
        <w:rPr>
          <w:rFonts w:ascii="Times New Roman" w:hAnsi="Times New Roman"/>
          <w:bCs/>
          <w:sz w:val="24"/>
          <w:szCs w:val="24"/>
        </w:rPr>
      </w:pPr>
    </w:p>
    <w:p w14:paraId="7BA84520" w14:textId="77777777" w:rsidR="00B11FC7" w:rsidRPr="00CE285C" w:rsidRDefault="00B11FC7" w:rsidP="00CE285C">
      <w:pPr>
        <w:autoSpaceDE w:val="0"/>
        <w:autoSpaceDN w:val="0"/>
        <w:adjustRightInd w:val="0"/>
        <w:spacing w:after="0" w:line="240" w:lineRule="auto"/>
        <w:ind w:firstLine="851"/>
        <w:jc w:val="both"/>
        <w:rPr>
          <w:rFonts w:ascii="Times New Roman" w:hAnsi="Times New Roman"/>
          <w:bCs/>
          <w:sz w:val="24"/>
          <w:szCs w:val="24"/>
        </w:rPr>
      </w:pPr>
    </w:p>
    <w:p w14:paraId="16AFE0C9" w14:textId="2D6F4F65" w:rsidR="00CE285C" w:rsidRPr="00CE285C" w:rsidRDefault="004E47A2" w:rsidP="00CE285C">
      <w:pPr>
        <w:autoSpaceDE w:val="0"/>
        <w:autoSpaceDN w:val="0"/>
        <w:adjustRightInd w:val="0"/>
        <w:spacing w:after="0" w:line="240" w:lineRule="auto"/>
        <w:ind w:firstLine="851"/>
        <w:jc w:val="center"/>
        <w:rPr>
          <w:rFonts w:ascii="Times New Roman" w:hAnsi="Times New Roman"/>
          <w:b/>
          <w:bCs/>
          <w:sz w:val="24"/>
          <w:szCs w:val="24"/>
        </w:rPr>
      </w:pPr>
      <w:r w:rsidRPr="00CE285C">
        <w:rPr>
          <w:rFonts w:ascii="Times New Roman" w:hAnsi="Times New Roman"/>
          <w:b/>
          <w:bCs/>
          <w:sz w:val="24"/>
          <w:szCs w:val="24"/>
          <w:lang w:val="en-US"/>
        </w:rPr>
        <w:t xml:space="preserve">3. SCHEME OF THE TCIPG </w:t>
      </w:r>
      <w:r w:rsidR="003F2A4B">
        <w:rPr>
          <w:rFonts w:ascii="Times New Roman" w:hAnsi="Times New Roman"/>
          <w:b/>
          <w:bCs/>
          <w:sz w:val="24"/>
          <w:szCs w:val="24"/>
          <w:lang w:val="en-US"/>
        </w:rPr>
        <w:t>INSTRUMENT</w:t>
      </w:r>
    </w:p>
    <w:p w14:paraId="744F32F1" w14:textId="77777777" w:rsidR="00CE285C" w:rsidRPr="00CE285C" w:rsidRDefault="004E47A2" w:rsidP="00CE285C">
      <w:pPr>
        <w:autoSpaceDE w:val="0"/>
        <w:autoSpaceDN w:val="0"/>
        <w:adjustRightInd w:val="0"/>
        <w:spacing w:after="0" w:line="240" w:lineRule="auto"/>
        <w:ind w:firstLine="851"/>
        <w:jc w:val="both"/>
        <w:rPr>
          <w:rFonts w:ascii="Times New Roman" w:hAnsi="Times New Roman"/>
          <w:b/>
          <w:bCs/>
          <w:sz w:val="24"/>
          <w:szCs w:val="24"/>
        </w:rPr>
      </w:pPr>
      <w:r w:rsidRPr="00CE285C">
        <w:rPr>
          <w:rFonts w:ascii="Times New Roman" w:hAnsi="Times New Roman"/>
          <w:b/>
          <w:bCs/>
          <w:sz w:val="24"/>
          <w:szCs w:val="24"/>
          <w:lang w:val="en-US"/>
        </w:rPr>
        <w:t>Example</w:t>
      </w:r>
    </w:p>
    <w:p w14:paraId="1D624309"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
          <w:bCs/>
          <w:sz w:val="24"/>
          <w:szCs w:val="24"/>
        </w:rPr>
      </w:pPr>
    </w:p>
    <w:p w14:paraId="5DB270EE" w14:textId="7FE898E0" w:rsidR="00CE285C" w:rsidRPr="00CE285C" w:rsidRDefault="004E47A2" w:rsidP="00CE285C">
      <w:pPr>
        <w:autoSpaceDE w:val="0"/>
        <w:autoSpaceDN w:val="0"/>
        <w:adjustRightInd w:val="0"/>
        <w:spacing w:after="0" w:line="240" w:lineRule="auto"/>
        <w:ind w:firstLine="851"/>
        <w:jc w:val="both"/>
        <w:rPr>
          <w:rFonts w:ascii="Times New Roman" w:hAnsi="Times New Roman"/>
          <w:bCs/>
          <w:sz w:val="24"/>
          <w:szCs w:val="24"/>
        </w:rPr>
      </w:pPr>
      <w:r w:rsidRPr="00154756">
        <w:rPr>
          <w:rFonts w:ascii="Times New Roman" w:hAnsi="Times New Roman"/>
          <w:sz w:val="24"/>
          <w:szCs w:val="24"/>
          <w:lang w:val="en-US"/>
        </w:rPr>
        <w:t xml:space="preserve">Funds of the TCIPG </w:t>
      </w:r>
      <w:r w:rsidR="003F2A4B">
        <w:rPr>
          <w:rFonts w:ascii="Times New Roman" w:hAnsi="Times New Roman"/>
          <w:sz w:val="24"/>
          <w:szCs w:val="24"/>
          <w:lang w:val="en-US"/>
        </w:rPr>
        <w:t>instrument</w:t>
      </w:r>
      <w:r w:rsidRPr="00154756">
        <w:rPr>
          <w:rFonts w:ascii="Times New Roman" w:hAnsi="Times New Roman"/>
          <w:sz w:val="24"/>
          <w:szCs w:val="24"/>
          <w:lang w:val="en-US"/>
        </w:rPr>
        <w:t xml:space="preserve"> (EUR </w:t>
      </w:r>
      <w:r w:rsidR="00B11FC7">
        <w:rPr>
          <w:rFonts w:ascii="Times New Roman" w:hAnsi="Times New Roman"/>
          <w:sz w:val="24"/>
          <w:szCs w:val="24"/>
          <w:lang w:val="en-US"/>
        </w:rPr>
        <w:t>600</w:t>
      </w:r>
      <w:r w:rsidRPr="00154756">
        <w:rPr>
          <w:rFonts w:ascii="Times New Roman" w:hAnsi="Times New Roman"/>
          <w:sz w:val="24"/>
          <w:szCs w:val="24"/>
          <w:lang w:val="en-US"/>
        </w:rPr>
        <w:t xml:space="preserve"> million)</w:t>
      </w:r>
    </w:p>
    <w:p w14:paraId="21A3514D" w14:textId="77777777" w:rsid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p>
    <w:p w14:paraId="1172AD99" w14:textId="77777777" w:rsidR="003B7DFB" w:rsidRDefault="004E47A2" w:rsidP="00CE285C">
      <w:pPr>
        <w:autoSpaceDE w:val="0"/>
        <w:autoSpaceDN w:val="0"/>
        <w:adjustRightInd w:val="0"/>
        <w:spacing w:after="0" w:line="240" w:lineRule="auto"/>
        <w:ind w:firstLine="851"/>
        <w:jc w:val="both"/>
        <w:rPr>
          <w:rFonts w:ascii="Times New Roman" w:hAnsi="Times New Roman"/>
          <w:bCs/>
          <w:sz w:val="24"/>
          <w:szCs w:val="24"/>
        </w:rPr>
      </w:pPr>
      <w:r>
        <w:rPr>
          <w:rFonts w:ascii="Times New Roman" w:hAnsi="Times New Roman"/>
          <w:b/>
          <w:noProof/>
          <w:sz w:val="24"/>
          <w:szCs w:val="24"/>
          <w:lang w:eastAsia="lt-LT"/>
        </w:rPr>
        <mc:AlternateContent>
          <mc:Choice Requires="wps">
            <w:drawing>
              <wp:anchor distT="0" distB="0" distL="114300" distR="114300" simplePos="0" relativeHeight="251661312" behindDoc="0" locked="0" layoutInCell="1" allowOverlap="1" wp14:anchorId="4C10889F" wp14:editId="3156232A">
                <wp:simplePos x="0" y="0"/>
                <wp:positionH relativeFrom="column">
                  <wp:posOffset>4053840</wp:posOffset>
                </wp:positionH>
                <wp:positionV relativeFrom="paragraph">
                  <wp:posOffset>1174750</wp:posOffset>
                </wp:positionV>
                <wp:extent cx="1714500" cy="676275"/>
                <wp:effectExtent l="933450" t="0" r="19050" b="28575"/>
                <wp:wrapNone/>
                <wp:docPr id="4" name="Callout: Line 4"/>
                <wp:cNvGraphicFramePr/>
                <a:graphic xmlns:a="http://schemas.openxmlformats.org/drawingml/2006/main">
                  <a:graphicData uri="http://schemas.microsoft.com/office/word/2010/wordprocessingShape">
                    <wps:wsp>
                      <wps:cNvSpPr/>
                      <wps:spPr>
                        <a:xfrm>
                          <a:off x="0" y="0"/>
                          <a:ext cx="1714500" cy="676275"/>
                        </a:xfrm>
                        <a:prstGeom prst="borderCallout1">
                          <a:avLst>
                            <a:gd name="adj1" fmla="val 1849"/>
                            <a:gd name="adj2" fmla="val 556"/>
                            <a:gd name="adj3" fmla="val 99824"/>
                            <a:gd name="adj4" fmla="val -53888"/>
                          </a:avLst>
                        </a:prstGeom>
                      </wps:spPr>
                      <wps:style>
                        <a:lnRef idx="2">
                          <a:schemeClr val="dk1"/>
                        </a:lnRef>
                        <a:fillRef idx="1">
                          <a:schemeClr val="lt1"/>
                        </a:fillRef>
                        <a:effectRef idx="0">
                          <a:schemeClr val="dk1"/>
                        </a:effectRef>
                        <a:fontRef idx="minor">
                          <a:schemeClr val="dk1"/>
                        </a:fontRef>
                      </wps:style>
                      <wps:txbx>
                        <w:txbxContent>
                          <w:p w14:paraId="399BA9DB" w14:textId="58E3B00D" w:rsidR="00282A98" w:rsidRDefault="00282A98" w:rsidP="00593AFF">
                            <w:pPr>
                              <w:jc w:val="center"/>
                            </w:pPr>
                            <w:r>
                              <w:rPr>
                                <w:rFonts w:ascii="Times New Roman" w:eastAsia="MS PGothic" w:hAnsi="Times New Roman"/>
                                <w:b/>
                                <w:bCs/>
                                <w:color w:val="000000"/>
                                <w:kern w:val="24"/>
                                <w:sz w:val="24"/>
                                <w:szCs w:val="24"/>
                                <w:lang w:val="en-US" w:eastAsia="lt-LT"/>
                              </w:rPr>
                              <w:t>The</w:t>
                            </w:r>
                            <w:r w:rsidRPr="00692B83">
                              <w:rPr>
                                <w:rFonts w:ascii="Times New Roman" w:hAnsi="Times New Roman"/>
                                <w:b/>
                                <w:sz w:val="24"/>
                                <w:szCs w:val="24"/>
                                <w:lang w:val="en-US"/>
                              </w:rPr>
                              <w:t xml:space="preserve"> maximum total loss coverage is EUR </w:t>
                            </w:r>
                            <w:r w:rsidR="00B11FC7">
                              <w:rPr>
                                <w:rFonts w:ascii="Times New Roman" w:hAnsi="Times New Roman"/>
                                <w:b/>
                                <w:sz w:val="24"/>
                                <w:szCs w:val="24"/>
                                <w:lang w:val="en-US"/>
                              </w:rPr>
                              <w:t>90</w:t>
                            </w:r>
                            <w:r w:rsidRPr="00692B83">
                              <w:rPr>
                                <w:rFonts w:ascii="Times New Roman" w:hAnsi="Times New Roman"/>
                                <w:b/>
                                <w:sz w:val="24"/>
                                <w:szCs w:val="24"/>
                                <w:lang w:val="en-US"/>
                              </w:rPr>
                              <w:t xml:space="preserve"> million</w:t>
                            </w:r>
                            <w:r w:rsidRPr="00CE285C">
                              <w:rPr>
                                <w:rFonts w:ascii="Times New Roman" w:eastAsia="MS PGothic" w:hAnsi="Times New Roman"/>
                                <w:b/>
                                <w:bCs/>
                                <w:color w:val="000000"/>
                                <w:kern w:val="24"/>
                                <w:sz w:val="24"/>
                                <w:szCs w:val="24"/>
                                <w:lang w:val="en-US" w:eastAsia="lt-LT"/>
                              </w:rPr>
                              <w:t>.</w:t>
                            </w:r>
                            <w:r w:rsidRPr="00692B83">
                              <w:rPr>
                                <w:rFonts w:ascii="Times New Roman" w:hAnsi="Times New Roman"/>
                                <w:b/>
                                <w:sz w:val="24"/>
                                <w:szCs w:val="24"/>
                                <w:lang w:val="en-US"/>
                              </w:rPr>
                              <w:t xml:space="preserve"> </w:t>
                            </w:r>
                          </w:p>
                          <w:p w14:paraId="23D00529" w14:textId="77777777" w:rsidR="00282A98" w:rsidRDefault="00282A98" w:rsidP="00593AFF">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4C10889F"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Callout: Line 4" o:spid="_x0000_s1026" type="#_x0000_t47" style="position:absolute;left:0;text-align:left;margin-left:319.2pt;margin-top:92.5pt;width:13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" adj="-11640,21562,120,399" fillcolor="white [3201]" strokecolor="black [3200]" strokeweight="1pt">
                <v:textbox>
                  <w:txbxContent>
                    <w:p w14:paraId="399BA9DB" w14:textId="58E3B00D" w:rsidR="00282A98" w:rsidRDefault="00282A98" w:rsidP="00593AFF">
                      <w:pPr>
                        <w:jc w:val="center"/>
                      </w:pPr>
                      <w:r>
                        <w:rPr>
                          <w:rFonts w:ascii="Times New Roman" w:eastAsia="MS PGothic" w:hAnsi="Times New Roman"/>
                          <w:b/>
                          <w:bCs/>
                          <w:color w:val="000000"/>
                          <w:kern w:val="24"/>
                          <w:sz w:val="24"/>
                          <w:szCs w:val="24"/>
                          <w:lang w:val="en-US" w:eastAsia="lt-LT"/>
                        </w:rPr>
                        <w:t>The</w:t>
                      </w:r>
                      <w:r w:rsidRPr="00692B83">
                        <w:rPr>
                          <w:rFonts w:ascii="Times New Roman" w:hAnsi="Times New Roman"/>
                          <w:b/>
                          <w:sz w:val="24"/>
                          <w:szCs w:val="24"/>
                          <w:lang w:val="en-US"/>
                        </w:rPr>
                        <w:t xml:space="preserve"> maximum total loss coverage is EUR </w:t>
                      </w:r>
                      <w:r w:rsidR="00B11FC7">
                        <w:rPr>
                          <w:rFonts w:ascii="Times New Roman" w:hAnsi="Times New Roman"/>
                          <w:b/>
                          <w:sz w:val="24"/>
                          <w:szCs w:val="24"/>
                          <w:lang w:val="en-US"/>
                        </w:rPr>
                        <w:t>90</w:t>
                      </w:r>
                      <w:r w:rsidRPr="00692B83">
                        <w:rPr>
                          <w:rFonts w:ascii="Times New Roman" w:hAnsi="Times New Roman"/>
                          <w:b/>
                          <w:sz w:val="24"/>
                          <w:szCs w:val="24"/>
                          <w:lang w:val="en-US"/>
                        </w:rPr>
                        <w:t xml:space="preserve"> million</w:t>
                      </w:r>
                      <w:r w:rsidRPr="00CE285C">
                        <w:rPr>
                          <w:rFonts w:ascii="Times New Roman" w:eastAsia="MS PGothic" w:hAnsi="Times New Roman"/>
                          <w:b/>
                          <w:bCs/>
                          <w:color w:val="000000"/>
                          <w:kern w:val="24"/>
                          <w:sz w:val="24"/>
                          <w:szCs w:val="24"/>
                          <w:lang w:val="en-US" w:eastAsia="lt-LT"/>
                        </w:rPr>
                        <w:t>.</w:t>
                      </w:r>
                      <w:r w:rsidRPr="00692B83">
                        <w:rPr>
                          <w:rFonts w:ascii="Times New Roman" w:hAnsi="Times New Roman"/>
                          <w:b/>
                          <w:sz w:val="24"/>
                          <w:szCs w:val="24"/>
                          <w:lang w:val="en-US"/>
                        </w:rPr>
                        <w:t xml:space="preserve"> </w:t>
                      </w:r>
                    </w:p>
                    <w:p w14:paraId="23D00529" w14:textId="77777777" w:rsidR="00282A98" w:rsidRDefault="00282A98" w:rsidP="00593AFF">
                      <w:pPr>
                        <w:jc w:val="center"/>
                      </w:pPr>
                    </w:p>
                  </w:txbxContent>
                </v:textbox>
                <o:callout v:ext="edit" minusy="t"/>
              </v:shape>
            </w:pict>
          </mc:Fallback>
        </mc:AlternateContent>
      </w:r>
      <w:r>
        <w:rPr>
          <w:rFonts w:ascii="Times New Roman" w:hAnsi="Times New Roman"/>
          <w:b/>
          <w:noProof/>
          <w:sz w:val="24"/>
          <w:szCs w:val="24"/>
          <w:lang w:eastAsia="lt-LT"/>
        </w:rPr>
        <mc:AlternateContent>
          <mc:Choice Requires="wps">
            <w:drawing>
              <wp:anchor distT="0" distB="0" distL="114300" distR="114300" simplePos="0" relativeHeight="251659264" behindDoc="0" locked="0" layoutInCell="1" allowOverlap="1" wp14:anchorId="508FCF35" wp14:editId="380D1300">
                <wp:simplePos x="0" y="0"/>
                <wp:positionH relativeFrom="column">
                  <wp:posOffset>4053840</wp:posOffset>
                </wp:positionH>
                <wp:positionV relativeFrom="paragraph">
                  <wp:posOffset>212724</wp:posOffset>
                </wp:positionV>
                <wp:extent cx="1781175" cy="714375"/>
                <wp:effectExtent l="990600" t="0" r="28575" b="28575"/>
                <wp:wrapNone/>
                <wp:docPr id="3" name="Callout: Line 3"/>
                <wp:cNvGraphicFramePr/>
                <a:graphic xmlns:a="http://schemas.openxmlformats.org/drawingml/2006/main">
                  <a:graphicData uri="http://schemas.microsoft.com/office/word/2010/wordprocessingShape">
                    <wps:wsp>
                      <wps:cNvSpPr/>
                      <wps:spPr>
                        <a:xfrm>
                          <a:off x="0" y="0"/>
                          <a:ext cx="1781175" cy="714375"/>
                        </a:xfrm>
                        <a:prstGeom prst="borderCallout1">
                          <a:avLst>
                            <a:gd name="adj1" fmla="val 0"/>
                            <a:gd name="adj2" fmla="val -757"/>
                            <a:gd name="adj3" fmla="val 93750"/>
                            <a:gd name="adj4" fmla="val -55000"/>
                          </a:avLst>
                        </a:prstGeom>
                      </wps:spPr>
                      <wps:style>
                        <a:lnRef idx="2">
                          <a:schemeClr val="dk1"/>
                        </a:lnRef>
                        <a:fillRef idx="1">
                          <a:schemeClr val="lt1"/>
                        </a:fillRef>
                        <a:effectRef idx="0">
                          <a:schemeClr val="dk1"/>
                        </a:effectRef>
                        <a:fontRef idx="minor">
                          <a:schemeClr val="dk1"/>
                        </a:fontRef>
                      </wps:style>
                      <wps:txbx>
                        <w:txbxContent>
                          <w:p w14:paraId="2D24AF5D" w14:textId="5665FD35" w:rsidR="00282A98" w:rsidRDefault="00282A98" w:rsidP="00593AFF">
                            <w:pPr>
                              <w:jc w:val="center"/>
                            </w:pPr>
                            <w:r>
                              <w:rPr>
                                <w:rFonts w:ascii="Times New Roman" w:eastAsia="MS PGothic" w:hAnsi="Times New Roman"/>
                                <w:b/>
                                <w:bCs/>
                                <w:color w:val="000000"/>
                                <w:kern w:val="24"/>
                                <w:sz w:val="24"/>
                                <w:szCs w:val="24"/>
                                <w:lang w:val="en-US" w:eastAsia="lt-LT"/>
                              </w:rPr>
                              <w:t>The</w:t>
                            </w:r>
                            <w:r w:rsidRPr="00692B83">
                              <w:rPr>
                                <w:rFonts w:ascii="Times New Roman" w:hAnsi="Times New Roman"/>
                                <w:b/>
                                <w:sz w:val="24"/>
                                <w:szCs w:val="24"/>
                                <w:lang w:val="en-US"/>
                              </w:rPr>
                              <w:t xml:space="preserve"> maximum total loss coverage </w:t>
                            </w:r>
                            <w:r w:rsidRPr="00B64B83">
                              <w:rPr>
                                <w:rFonts w:ascii="Times New Roman" w:hAnsi="Times New Roman"/>
                                <w:bCs/>
                                <w:sz w:val="24"/>
                                <w:szCs w:val="24"/>
                                <w:lang w:val="en-US"/>
                              </w:rPr>
                              <w:t xml:space="preserve">is </w:t>
                            </w:r>
                            <w:r w:rsidRPr="00CE285C">
                              <w:rPr>
                                <w:rFonts w:ascii="Times New Roman" w:eastAsia="MS PGothic" w:hAnsi="Times New Roman"/>
                                <w:b/>
                                <w:bCs/>
                                <w:color w:val="000000"/>
                                <w:kern w:val="24"/>
                                <w:sz w:val="24"/>
                                <w:szCs w:val="24"/>
                                <w:lang w:val="en-US" w:eastAsia="lt-LT"/>
                              </w:rPr>
                              <w:t>EUR</w:t>
                            </w:r>
                            <w:r w:rsidR="000755B2">
                              <w:rPr>
                                <w:rFonts w:ascii="Times New Roman" w:eastAsia="MS PGothic" w:hAnsi="Times New Roman"/>
                                <w:b/>
                                <w:bCs/>
                                <w:color w:val="000000"/>
                                <w:kern w:val="24"/>
                                <w:sz w:val="24"/>
                                <w:szCs w:val="24"/>
                                <w:lang w:val="en-US" w:eastAsia="lt-LT"/>
                              </w:rPr>
                              <w:t xml:space="preserve"> </w:t>
                            </w:r>
                            <w:r w:rsidR="00B11FC7">
                              <w:rPr>
                                <w:rFonts w:ascii="Times New Roman" w:eastAsia="MS PGothic" w:hAnsi="Times New Roman"/>
                                <w:b/>
                                <w:bCs/>
                                <w:color w:val="000000"/>
                                <w:kern w:val="24"/>
                                <w:sz w:val="24"/>
                                <w:szCs w:val="24"/>
                                <w:lang w:val="en-US" w:eastAsia="lt-LT"/>
                              </w:rPr>
                              <w:t>500</w:t>
                            </w:r>
                            <w:r w:rsidRPr="00692B83">
                              <w:rPr>
                                <w:rFonts w:ascii="Times New Roman" w:hAnsi="Times New Roman"/>
                                <w:b/>
                                <w:sz w:val="24"/>
                                <w:szCs w:val="24"/>
                                <w:lang w:val="en-US"/>
                              </w:rPr>
                              <w:t xml:space="preserve">   </w:t>
                            </w:r>
                            <w:r w:rsidRPr="00CE285C">
                              <w:rPr>
                                <w:rFonts w:ascii="Times New Roman" w:eastAsia="MS PGothic" w:hAnsi="Times New Roman"/>
                                <w:b/>
                                <w:bCs/>
                                <w:color w:val="000000"/>
                                <w:kern w:val="24"/>
                                <w:sz w:val="24"/>
                                <w:szCs w:val="24"/>
                                <w:lang w:val="en-US" w:eastAsia="lt-LT"/>
                              </w:rPr>
                              <w:t xml:space="preserve"> million.</w:t>
                            </w:r>
                            <w:r w:rsidRPr="00692B83">
                              <w:rPr>
                                <w:rFonts w:ascii="Times New Roman" w:hAnsi="Times New Roman"/>
                                <w:b/>
                                <w:sz w:val="24"/>
                                <w:szCs w:val="24"/>
                                <w:lang w:val="en-US"/>
                              </w:rPr>
                              <w:t xml:space="preserve">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08FCF35" id="Callout: Line 3" o:spid="_x0000_s1027" type="#_x0000_t47" style="position:absolute;left:0;text-align:left;margin-left:319.2pt;margin-top:16.75pt;width:140.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" adj="-11880,20250,-164,0" fillcolor="white [3201]" strokecolor="black [3200]" strokeweight="1pt">
                <v:textbox>
                  <w:txbxContent>
                    <w:p w14:paraId="2D24AF5D" w14:textId="5665FD35" w:rsidR="00282A98" w:rsidRDefault="00282A98" w:rsidP="00593AFF">
                      <w:pPr>
                        <w:jc w:val="center"/>
                      </w:pPr>
                      <w:r>
                        <w:rPr>
                          <w:rFonts w:ascii="Times New Roman" w:eastAsia="MS PGothic" w:hAnsi="Times New Roman"/>
                          <w:b/>
                          <w:bCs/>
                          <w:color w:val="000000"/>
                          <w:kern w:val="24"/>
                          <w:sz w:val="24"/>
                          <w:szCs w:val="24"/>
                          <w:lang w:val="en-US" w:eastAsia="lt-LT"/>
                        </w:rPr>
                        <w:t>The</w:t>
                      </w:r>
                      <w:r w:rsidRPr="00692B83">
                        <w:rPr>
                          <w:rFonts w:ascii="Times New Roman" w:hAnsi="Times New Roman"/>
                          <w:b/>
                          <w:sz w:val="24"/>
                          <w:szCs w:val="24"/>
                          <w:lang w:val="en-US"/>
                        </w:rPr>
                        <w:t xml:space="preserve"> maximum total loss coverage </w:t>
                      </w:r>
                      <w:r w:rsidRPr="00B64B83">
                        <w:rPr>
                          <w:rFonts w:ascii="Times New Roman" w:hAnsi="Times New Roman"/>
                          <w:bCs/>
                          <w:sz w:val="24"/>
                          <w:szCs w:val="24"/>
                          <w:lang w:val="en-US"/>
                        </w:rPr>
                        <w:t xml:space="preserve">is </w:t>
                      </w:r>
                      <w:r w:rsidRPr="00CE285C">
                        <w:rPr>
                          <w:rFonts w:ascii="Times New Roman" w:eastAsia="MS PGothic" w:hAnsi="Times New Roman"/>
                          <w:b/>
                          <w:bCs/>
                          <w:color w:val="000000"/>
                          <w:kern w:val="24"/>
                          <w:sz w:val="24"/>
                          <w:szCs w:val="24"/>
                          <w:lang w:val="en-US" w:eastAsia="lt-LT"/>
                        </w:rPr>
                        <w:t>EUR</w:t>
                      </w:r>
                      <w:r w:rsidR="000755B2">
                        <w:rPr>
                          <w:rFonts w:ascii="Times New Roman" w:eastAsia="MS PGothic" w:hAnsi="Times New Roman"/>
                          <w:b/>
                          <w:bCs/>
                          <w:color w:val="000000"/>
                          <w:kern w:val="24"/>
                          <w:sz w:val="24"/>
                          <w:szCs w:val="24"/>
                          <w:lang w:val="en-US" w:eastAsia="lt-LT"/>
                        </w:rPr>
                        <w:t xml:space="preserve"> </w:t>
                      </w:r>
                      <w:r w:rsidR="00B11FC7">
                        <w:rPr>
                          <w:rFonts w:ascii="Times New Roman" w:eastAsia="MS PGothic" w:hAnsi="Times New Roman"/>
                          <w:b/>
                          <w:bCs/>
                          <w:color w:val="000000"/>
                          <w:kern w:val="24"/>
                          <w:sz w:val="24"/>
                          <w:szCs w:val="24"/>
                          <w:lang w:val="en-US" w:eastAsia="lt-LT"/>
                        </w:rPr>
                        <w:t>500</w:t>
                      </w:r>
                      <w:r w:rsidRPr="00692B83">
                        <w:rPr>
                          <w:rFonts w:ascii="Times New Roman" w:hAnsi="Times New Roman"/>
                          <w:b/>
                          <w:sz w:val="24"/>
                          <w:szCs w:val="24"/>
                          <w:lang w:val="en-US"/>
                        </w:rPr>
                        <w:t xml:space="preserve">   </w:t>
                      </w:r>
                      <w:r w:rsidRPr="00CE285C">
                        <w:rPr>
                          <w:rFonts w:ascii="Times New Roman" w:eastAsia="MS PGothic" w:hAnsi="Times New Roman"/>
                          <w:b/>
                          <w:bCs/>
                          <w:color w:val="000000"/>
                          <w:kern w:val="24"/>
                          <w:sz w:val="24"/>
                          <w:szCs w:val="24"/>
                          <w:lang w:val="en-US" w:eastAsia="lt-LT"/>
                        </w:rPr>
                        <w:t xml:space="preserve"> million.</w:t>
                      </w:r>
                      <w:r w:rsidRPr="00692B83">
                        <w:rPr>
                          <w:rFonts w:ascii="Times New Roman" w:hAnsi="Times New Roman"/>
                          <w:b/>
                          <w:sz w:val="24"/>
                          <w:szCs w:val="24"/>
                          <w:lang w:val="en-US"/>
                        </w:rPr>
                        <w:t xml:space="preserve"> </w:t>
                      </w:r>
                    </w:p>
                  </w:txbxContent>
                </v:textbox>
                <o:callout v:ext="edit" minusy="t"/>
              </v:shape>
            </w:pict>
          </mc:Fallback>
        </mc:AlternateContent>
      </w:r>
      <w:r w:rsidR="003839CF">
        <w:rPr>
          <w:rFonts w:ascii="Times New Roman" w:hAnsi="Times New Roman"/>
          <w:b/>
          <w:sz w:val="24"/>
          <w:szCs w:val="24"/>
        </w:rPr>
        <w:t xml:space="preserve">        </w:t>
      </w:r>
    </w:p>
    <w:tbl>
      <w:tblPr>
        <w:tblStyle w:val="TableGrid"/>
        <w:tblW w:w="6232" w:type="dxa"/>
        <w:tblLook w:val="04A0" w:firstRow="1" w:lastRow="0" w:firstColumn="1" w:lastColumn="0" w:noHBand="0" w:noVBand="1"/>
      </w:tblPr>
      <w:tblGrid>
        <w:gridCol w:w="692"/>
        <w:gridCol w:w="1288"/>
        <w:gridCol w:w="4252"/>
      </w:tblGrid>
      <w:tr w:rsidR="00796B74" w14:paraId="330DA793" w14:textId="77777777" w:rsidTr="00797B98">
        <w:trPr>
          <w:cantSplit/>
          <w:trHeight w:val="295"/>
        </w:trPr>
        <w:tc>
          <w:tcPr>
            <w:tcW w:w="6232" w:type="dxa"/>
            <w:gridSpan w:val="3"/>
            <w:shd w:val="clear" w:color="auto" w:fill="auto"/>
          </w:tcPr>
          <w:p w14:paraId="777A8A04" w14:textId="77777777" w:rsidR="00593AFF" w:rsidRPr="00593AFF" w:rsidRDefault="004E47A2" w:rsidP="00593AFF">
            <w:pPr>
              <w:autoSpaceDE w:val="0"/>
              <w:autoSpaceDN w:val="0"/>
              <w:adjustRightInd w:val="0"/>
              <w:spacing w:after="0" w:line="240" w:lineRule="auto"/>
              <w:ind w:firstLine="851"/>
              <w:rPr>
                <w:rFonts w:ascii="Times New Roman" w:hAnsi="Times New Roman"/>
                <w:bCs/>
                <w:sz w:val="24"/>
                <w:szCs w:val="24"/>
              </w:rPr>
            </w:pPr>
            <w:r>
              <w:rPr>
                <w:rFonts w:ascii="Times New Roman" w:hAnsi="Times New Roman"/>
                <w:b/>
                <w:sz w:val="24"/>
                <w:szCs w:val="24"/>
                <w:lang w:val="en-US"/>
              </w:rPr>
              <w:t xml:space="preserve">      Insurance portfolio loss share </w:t>
            </w:r>
          </w:p>
        </w:tc>
      </w:tr>
      <w:tr w:rsidR="00796B74" w14:paraId="6D810E13" w14:textId="77777777" w:rsidTr="000979A5">
        <w:trPr>
          <w:cantSplit/>
          <w:trHeight w:val="1928"/>
        </w:trPr>
        <w:tc>
          <w:tcPr>
            <w:tcW w:w="692" w:type="dxa"/>
            <w:textDirection w:val="btLr"/>
          </w:tcPr>
          <w:p w14:paraId="2DE29070" w14:textId="77777777" w:rsidR="003839CF" w:rsidRPr="003B7DFB" w:rsidRDefault="004E47A2" w:rsidP="003B7DFB">
            <w:pPr>
              <w:autoSpaceDE w:val="0"/>
              <w:autoSpaceDN w:val="0"/>
              <w:adjustRightInd w:val="0"/>
              <w:spacing w:after="0" w:line="240" w:lineRule="auto"/>
              <w:ind w:left="113" w:right="113"/>
              <w:jc w:val="center"/>
              <w:rPr>
                <w:rFonts w:ascii="Times New Roman" w:hAnsi="Times New Roman"/>
                <w:b/>
                <w:sz w:val="24"/>
                <w:szCs w:val="24"/>
              </w:rPr>
            </w:pPr>
            <w:r>
              <w:rPr>
                <w:rFonts w:ascii="Times New Roman" w:hAnsi="Times New Roman"/>
                <w:b/>
                <w:sz w:val="24"/>
                <w:szCs w:val="24"/>
                <w:lang w:val="en-US"/>
              </w:rPr>
              <w:t>Second loss threshold</w:t>
            </w:r>
          </w:p>
        </w:tc>
        <w:tc>
          <w:tcPr>
            <w:tcW w:w="5540" w:type="dxa"/>
            <w:gridSpan w:val="2"/>
            <w:shd w:val="clear" w:color="auto" w:fill="B4C6E7" w:themeFill="accent5" w:themeFillTint="66"/>
          </w:tcPr>
          <w:p w14:paraId="67CBF0F3" w14:textId="77777777" w:rsidR="003839CF" w:rsidRDefault="003839CF" w:rsidP="003B7DFB">
            <w:pPr>
              <w:autoSpaceDE w:val="0"/>
              <w:autoSpaceDN w:val="0"/>
              <w:adjustRightInd w:val="0"/>
              <w:spacing w:after="0" w:line="240" w:lineRule="auto"/>
              <w:jc w:val="center"/>
              <w:rPr>
                <w:rFonts w:ascii="Times New Roman" w:hAnsi="Times New Roman"/>
                <w:b/>
                <w:sz w:val="24"/>
                <w:szCs w:val="24"/>
              </w:rPr>
            </w:pPr>
          </w:p>
          <w:p w14:paraId="15E7996F" w14:textId="77777777" w:rsidR="003839CF" w:rsidRDefault="003839CF" w:rsidP="003B7DFB">
            <w:pPr>
              <w:autoSpaceDE w:val="0"/>
              <w:autoSpaceDN w:val="0"/>
              <w:adjustRightInd w:val="0"/>
              <w:spacing w:after="0" w:line="240" w:lineRule="auto"/>
              <w:jc w:val="center"/>
              <w:rPr>
                <w:rFonts w:ascii="Times New Roman" w:hAnsi="Times New Roman"/>
                <w:b/>
                <w:sz w:val="24"/>
                <w:szCs w:val="24"/>
              </w:rPr>
            </w:pPr>
          </w:p>
          <w:p w14:paraId="70F5F42A" w14:textId="77777777" w:rsidR="003839CF" w:rsidRDefault="003839CF" w:rsidP="003B7DFB">
            <w:pPr>
              <w:autoSpaceDE w:val="0"/>
              <w:autoSpaceDN w:val="0"/>
              <w:adjustRightInd w:val="0"/>
              <w:spacing w:after="0" w:line="240" w:lineRule="auto"/>
              <w:jc w:val="center"/>
              <w:rPr>
                <w:rFonts w:ascii="Times New Roman" w:hAnsi="Times New Roman"/>
                <w:b/>
                <w:sz w:val="24"/>
                <w:szCs w:val="24"/>
              </w:rPr>
            </w:pPr>
          </w:p>
          <w:p w14:paraId="26A4DBFB" w14:textId="65F8CB40" w:rsidR="003839CF" w:rsidRPr="001A6E21" w:rsidRDefault="004E47A2" w:rsidP="001A6E21">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lang w:val="en-US"/>
              </w:rPr>
              <w:t xml:space="preserve">Invega </w:t>
            </w:r>
            <w:r w:rsidR="000B3B77">
              <w:rPr>
                <w:rFonts w:ascii="Times New Roman" w:hAnsi="Times New Roman"/>
                <w:b/>
                <w:sz w:val="24"/>
                <w:szCs w:val="24"/>
                <w:lang w:val="en-US"/>
              </w:rPr>
              <w:t>–</w:t>
            </w:r>
            <w:r>
              <w:rPr>
                <w:rFonts w:ascii="Times New Roman" w:hAnsi="Times New Roman"/>
                <w:b/>
                <w:sz w:val="24"/>
                <w:szCs w:val="24"/>
                <w:lang w:val="en-US"/>
              </w:rPr>
              <w:t xml:space="preserve"> 100%</w:t>
            </w:r>
          </w:p>
          <w:p w14:paraId="1D97F53E" w14:textId="77777777" w:rsidR="003839CF" w:rsidRDefault="003839CF" w:rsidP="003B7DFB">
            <w:pPr>
              <w:spacing w:after="0" w:line="240" w:lineRule="auto"/>
              <w:jc w:val="center"/>
              <w:textAlignment w:val="baseline"/>
              <w:rPr>
                <w:rFonts w:ascii="Times New Roman" w:eastAsia="MS PGothic" w:hAnsi="Times New Roman"/>
                <w:b/>
                <w:bCs/>
                <w:color w:val="000000"/>
                <w:kern w:val="24"/>
                <w:sz w:val="24"/>
                <w:szCs w:val="24"/>
                <w:lang w:eastAsia="lt-LT"/>
              </w:rPr>
            </w:pPr>
          </w:p>
          <w:p w14:paraId="69A802D1" w14:textId="77777777" w:rsidR="003839CF" w:rsidRDefault="003839CF" w:rsidP="00593AFF">
            <w:pPr>
              <w:spacing w:after="0" w:line="240" w:lineRule="auto"/>
              <w:jc w:val="center"/>
              <w:textAlignment w:val="baseline"/>
              <w:rPr>
                <w:rFonts w:ascii="Times New Roman" w:hAnsi="Times New Roman"/>
                <w:bCs/>
                <w:sz w:val="24"/>
                <w:szCs w:val="24"/>
              </w:rPr>
            </w:pPr>
          </w:p>
        </w:tc>
      </w:tr>
      <w:tr w:rsidR="00796B74" w14:paraId="0612B104" w14:textId="77777777" w:rsidTr="00797B98">
        <w:trPr>
          <w:cantSplit/>
          <w:trHeight w:val="2027"/>
        </w:trPr>
        <w:tc>
          <w:tcPr>
            <w:tcW w:w="692" w:type="dxa"/>
            <w:textDirection w:val="btLr"/>
          </w:tcPr>
          <w:p w14:paraId="0B05DC4D" w14:textId="77777777" w:rsidR="00903C98" w:rsidRDefault="004E47A2" w:rsidP="003B7DFB">
            <w:pPr>
              <w:spacing w:after="0" w:line="240" w:lineRule="auto"/>
              <w:ind w:left="113" w:right="113"/>
              <w:jc w:val="center"/>
              <w:textAlignment w:val="baseline"/>
              <w:rPr>
                <w:rFonts w:ascii="Times New Roman" w:eastAsia="MS PGothic" w:hAnsi="Times New Roman"/>
                <w:b/>
                <w:bCs/>
                <w:color w:val="000000"/>
                <w:kern w:val="24"/>
                <w:sz w:val="24"/>
                <w:szCs w:val="24"/>
                <w:lang w:eastAsia="lt-LT"/>
              </w:rPr>
            </w:pPr>
            <w:r>
              <w:rPr>
                <w:rFonts w:ascii="Times New Roman" w:hAnsi="Times New Roman"/>
                <w:b/>
                <w:sz w:val="24"/>
                <w:szCs w:val="24"/>
                <w:lang w:val="en-US"/>
              </w:rPr>
              <w:t>First loss threshold</w:t>
            </w:r>
          </w:p>
        </w:tc>
        <w:tc>
          <w:tcPr>
            <w:tcW w:w="1288" w:type="dxa"/>
            <w:shd w:val="clear" w:color="auto" w:fill="D9D9D9" w:themeFill="background1" w:themeFillShade="D9"/>
          </w:tcPr>
          <w:p w14:paraId="7AE130F0" w14:textId="77777777" w:rsidR="00903C98" w:rsidRPr="00903C98" w:rsidRDefault="00903C98" w:rsidP="003B7DFB">
            <w:pPr>
              <w:spacing w:after="0" w:line="240" w:lineRule="auto"/>
              <w:jc w:val="center"/>
              <w:textAlignment w:val="baseline"/>
              <w:rPr>
                <w:rFonts w:ascii="Times New Roman" w:hAnsi="Times New Roman"/>
                <w:b/>
                <w:sz w:val="24"/>
                <w:szCs w:val="24"/>
              </w:rPr>
            </w:pPr>
          </w:p>
          <w:p w14:paraId="2C1F6585" w14:textId="77777777" w:rsidR="00797B98" w:rsidRDefault="00797B98" w:rsidP="00797B98">
            <w:pPr>
              <w:autoSpaceDE w:val="0"/>
              <w:autoSpaceDN w:val="0"/>
              <w:adjustRightInd w:val="0"/>
              <w:spacing w:after="0" w:line="240" w:lineRule="auto"/>
              <w:jc w:val="both"/>
              <w:rPr>
                <w:rFonts w:ascii="Times New Roman" w:hAnsi="Times New Roman"/>
                <w:b/>
                <w:sz w:val="24"/>
                <w:szCs w:val="24"/>
              </w:rPr>
            </w:pPr>
          </w:p>
          <w:p w14:paraId="4B865C62" w14:textId="77777777" w:rsidR="00797B98" w:rsidRDefault="00797B98" w:rsidP="00797B98">
            <w:pPr>
              <w:autoSpaceDE w:val="0"/>
              <w:autoSpaceDN w:val="0"/>
              <w:adjustRightInd w:val="0"/>
              <w:spacing w:after="0" w:line="240" w:lineRule="auto"/>
              <w:jc w:val="both"/>
              <w:rPr>
                <w:rFonts w:ascii="Times New Roman" w:hAnsi="Times New Roman"/>
                <w:b/>
                <w:sz w:val="24"/>
                <w:szCs w:val="24"/>
              </w:rPr>
            </w:pPr>
          </w:p>
          <w:p w14:paraId="7C92F6DC" w14:textId="77777777" w:rsidR="00797B98" w:rsidRDefault="004E47A2" w:rsidP="00797B98">
            <w:pPr>
              <w:autoSpaceDE w:val="0"/>
              <w:autoSpaceDN w:val="0"/>
              <w:adjustRightInd w:val="0"/>
              <w:spacing w:after="0" w:line="240" w:lineRule="auto"/>
              <w:jc w:val="center"/>
              <w:rPr>
                <w:rFonts w:ascii="Times New Roman" w:hAnsi="Times New Roman"/>
                <w:bCs/>
                <w:sz w:val="24"/>
                <w:szCs w:val="24"/>
              </w:rPr>
            </w:pPr>
            <w:r w:rsidRPr="00593AFF">
              <w:rPr>
                <w:rFonts w:ascii="Times New Roman" w:hAnsi="Times New Roman"/>
                <w:b/>
                <w:sz w:val="24"/>
                <w:szCs w:val="24"/>
                <w:lang w:val="en-US"/>
              </w:rPr>
              <w:t>Insurer - 10%</w:t>
            </w:r>
          </w:p>
          <w:p w14:paraId="2D155F44" w14:textId="77777777" w:rsidR="00903C98" w:rsidRPr="00903C98" w:rsidRDefault="00903C98" w:rsidP="00593AFF">
            <w:pPr>
              <w:autoSpaceDE w:val="0"/>
              <w:autoSpaceDN w:val="0"/>
              <w:adjustRightInd w:val="0"/>
              <w:spacing w:after="0" w:line="240" w:lineRule="auto"/>
              <w:jc w:val="center"/>
              <w:rPr>
                <w:rFonts w:ascii="Times New Roman" w:hAnsi="Times New Roman"/>
                <w:b/>
                <w:sz w:val="24"/>
                <w:szCs w:val="24"/>
              </w:rPr>
            </w:pPr>
          </w:p>
        </w:tc>
        <w:tc>
          <w:tcPr>
            <w:tcW w:w="4252" w:type="dxa"/>
            <w:shd w:val="clear" w:color="auto" w:fill="B4C6E7" w:themeFill="accent5" w:themeFillTint="66"/>
          </w:tcPr>
          <w:p w14:paraId="27F48B99" w14:textId="77777777" w:rsidR="00903C98" w:rsidRPr="00903C98" w:rsidRDefault="00903C98" w:rsidP="00593AFF">
            <w:pPr>
              <w:spacing w:after="0" w:line="240" w:lineRule="auto"/>
              <w:jc w:val="center"/>
              <w:textAlignment w:val="baseline"/>
              <w:rPr>
                <w:rFonts w:ascii="Times New Roman" w:eastAsia="MS PGothic" w:hAnsi="Times New Roman"/>
                <w:b/>
                <w:bCs/>
                <w:color w:val="000000"/>
                <w:kern w:val="24"/>
                <w:sz w:val="24"/>
                <w:szCs w:val="24"/>
                <w:lang w:eastAsia="lt-LT"/>
              </w:rPr>
            </w:pPr>
          </w:p>
          <w:p w14:paraId="6B9C2287" w14:textId="77777777" w:rsidR="00797B98" w:rsidRDefault="004E47A2" w:rsidP="00797B98">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         </w:t>
            </w:r>
          </w:p>
          <w:p w14:paraId="5FE58CDA" w14:textId="77777777" w:rsidR="00797B98" w:rsidRDefault="00797B98" w:rsidP="00797B98">
            <w:pPr>
              <w:autoSpaceDE w:val="0"/>
              <w:autoSpaceDN w:val="0"/>
              <w:adjustRightInd w:val="0"/>
              <w:spacing w:after="0" w:line="240" w:lineRule="auto"/>
              <w:rPr>
                <w:rFonts w:ascii="Times New Roman" w:hAnsi="Times New Roman"/>
                <w:b/>
                <w:sz w:val="24"/>
                <w:szCs w:val="24"/>
              </w:rPr>
            </w:pPr>
          </w:p>
          <w:p w14:paraId="0459721F" w14:textId="149A3B08" w:rsidR="00797B98" w:rsidRPr="001A6E21" w:rsidRDefault="004E47A2" w:rsidP="00797B98">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lang w:val="en-US"/>
              </w:rPr>
              <w:t xml:space="preserve">         Invega </w:t>
            </w:r>
            <w:r w:rsidR="000B3B77">
              <w:rPr>
                <w:rFonts w:ascii="Times New Roman" w:hAnsi="Times New Roman"/>
                <w:b/>
                <w:sz w:val="24"/>
                <w:szCs w:val="24"/>
                <w:lang w:val="en-US"/>
              </w:rPr>
              <w:t>–</w:t>
            </w:r>
            <w:r>
              <w:rPr>
                <w:rFonts w:ascii="Times New Roman" w:hAnsi="Times New Roman"/>
                <w:b/>
                <w:sz w:val="24"/>
                <w:szCs w:val="24"/>
                <w:lang w:val="en-US"/>
              </w:rPr>
              <w:t xml:space="preserve"> 90%</w:t>
            </w:r>
          </w:p>
          <w:p w14:paraId="767BCA74" w14:textId="77777777" w:rsidR="00903C98" w:rsidRPr="00903C98" w:rsidRDefault="00903C98" w:rsidP="00593AFF">
            <w:pPr>
              <w:spacing w:after="0" w:line="240" w:lineRule="auto"/>
              <w:jc w:val="center"/>
              <w:textAlignment w:val="baseline"/>
              <w:rPr>
                <w:rFonts w:ascii="Times New Roman" w:hAnsi="Times New Roman"/>
                <w:bCs/>
                <w:sz w:val="24"/>
                <w:szCs w:val="24"/>
              </w:rPr>
            </w:pPr>
          </w:p>
        </w:tc>
      </w:tr>
    </w:tbl>
    <w:p w14:paraId="161D9716"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p>
    <w:p w14:paraId="0839D60D" w14:textId="77777777" w:rsidR="00CE285C" w:rsidRPr="00CE285C" w:rsidRDefault="00CE285C" w:rsidP="00CE285C">
      <w:pPr>
        <w:keepNext/>
        <w:autoSpaceDE w:val="0"/>
        <w:autoSpaceDN w:val="0"/>
        <w:adjustRightInd w:val="0"/>
        <w:spacing w:after="0" w:line="240" w:lineRule="auto"/>
        <w:ind w:firstLine="851"/>
        <w:jc w:val="center"/>
        <w:rPr>
          <w:rFonts w:ascii="Times New Roman" w:hAnsi="Times New Roman"/>
          <w:b/>
          <w:bCs/>
          <w:sz w:val="24"/>
          <w:szCs w:val="24"/>
        </w:rPr>
      </w:pPr>
    </w:p>
    <w:p w14:paraId="2DD566E6" w14:textId="7BD76124" w:rsidR="00CE285C" w:rsidRPr="00CE285C" w:rsidRDefault="004E47A2" w:rsidP="00CE285C">
      <w:pPr>
        <w:keepNext/>
        <w:autoSpaceDE w:val="0"/>
        <w:autoSpaceDN w:val="0"/>
        <w:adjustRightInd w:val="0"/>
        <w:spacing w:after="0" w:line="240" w:lineRule="auto"/>
        <w:ind w:firstLine="851"/>
        <w:jc w:val="center"/>
        <w:rPr>
          <w:rFonts w:ascii="Times New Roman" w:hAnsi="Times New Roman"/>
          <w:b/>
          <w:bCs/>
          <w:sz w:val="24"/>
          <w:szCs w:val="24"/>
        </w:rPr>
      </w:pPr>
      <w:r w:rsidRPr="00CE285C">
        <w:rPr>
          <w:rFonts w:ascii="Times New Roman" w:hAnsi="Times New Roman"/>
          <w:b/>
          <w:bCs/>
          <w:sz w:val="24"/>
          <w:szCs w:val="24"/>
          <w:lang w:val="en-US"/>
        </w:rPr>
        <w:t xml:space="preserve">4. </w:t>
      </w:r>
      <w:r w:rsidR="00BE4374">
        <w:rPr>
          <w:rFonts w:ascii="Times New Roman" w:hAnsi="Times New Roman"/>
          <w:b/>
          <w:bCs/>
          <w:sz w:val="24"/>
          <w:szCs w:val="24"/>
          <w:lang w:val="en-US"/>
        </w:rPr>
        <w:t>Main</w:t>
      </w:r>
      <w:r w:rsidRPr="00CE285C">
        <w:rPr>
          <w:rFonts w:ascii="Times New Roman" w:hAnsi="Times New Roman"/>
          <w:b/>
          <w:bCs/>
          <w:sz w:val="24"/>
          <w:szCs w:val="24"/>
          <w:lang w:val="en-US"/>
        </w:rPr>
        <w:t xml:space="preserve"> definitions and </w:t>
      </w:r>
      <w:r w:rsidR="00B45B9D">
        <w:rPr>
          <w:rFonts w:ascii="Times New Roman" w:hAnsi="Times New Roman"/>
          <w:b/>
          <w:bCs/>
          <w:sz w:val="24"/>
          <w:szCs w:val="24"/>
          <w:lang w:val="en-US"/>
        </w:rPr>
        <w:t>terms</w:t>
      </w:r>
    </w:p>
    <w:p w14:paraId="6ED9458A" w14:textId="77777777" w:rsidR="00CE285C" w:rsidRPr="00CE285C" w:rsidRDefault="00CE285C" w:rsidP="00CE285C">
      <w:pPr>
        <w:keepNext/>
        <w:autoSpaceDE w:val="0"/>
        <w:autoSpaceDN w:val="0"/>
        <w:adjustRightInd w:val="0"/>
        <w:spacing w:after="0" w:line="240" w:lineRule="auto"/>
        <w:ind w:firstLine="851"/>
        <w:jc w:val="center"/>
        <w:rPr>
          <w:rFonts w:ascii="Times New Roman" w:hAnsi="Times New Roman"/>
          <w:b/>
          <w:bCs/>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3"/>
        <w:gridCol w:w="6894"/>
      </w:tblGrid>
      <w:tr w:rsidR="00796B74" w14:paraId="3D5CCA7D" w14:textId="77777777" w:rsidTr="00DA4696">
        <w:trPr>
          <w:trHeight w:val="368"/>
        </w:trPr>
        <w:tc>
          <w:tcPr>
            <w:tcW w:w="2853" w:type="dxa"/>
          </w:tcPr>
          <w:p w14:paraId="204DC3FC" w14:textId="10B6ADF9" w:rsidR="00CE285C" w:rsidRPr="002F19E8" w:rsidRDefault="004E47A2" w:rsidP="00CE285C">
            <w:pPr>
              <w:keepNext/>
              <w:autoSpaceDE w:val="0"/>
              <w:autoSpaceDN w:val="0"/>
              <w:spacing w:after="0" w:line="240" w:lineRule="auto"/>
              <w:contextualSpacing/>
              <w:jc w:val="both"/>
              <w:rPr>
                <w:rFonts w:ascii="Times New Roman" w:hAnsi="Times New Roman"/>
                <w:b/>
                <w:sz w:val="24"/>
                <w:szCs w:val="24"/>
              </w:rPr>
            </w:pPr>
            <w:r w:rsidRPr="002F19E8">
              <w:rPr>
                <w:rFonts w:ascii="Times New Roman" w:hAnsi="Times New Roman"/>
                <w:b/>
                <w:bCs/>
                <w:sz w:val="24"/>
                <w:szCs w:val="24"/>
                <w:lang w:val="en-US"/>
              </w:rPr>
              <w:t xml:space="preserve">TCIPG </w:t>
            </w:r>
            <w:r w:rsidR="003F2A4B">
              <w:rPr>
                <w:rFonts w:ascii="Times New Roman" w:hAnsi="Times New Roman"/>
                <w:b/>
                <w:bCs/>
                <w:sz w:val="24"/>
                <w:szCs w:val="24"/>
                <w:lang w:val="en-US"/>
              </w:rPr>
              <w:t>instrument</w:t>
            </w:r>
          </w:p>
        </w:tc>
        <w:tc>
          <w:tcPr>
            <w:tcW w:w="6894" w:type="dxa"/>
          </w:tcPr>
          <w:p w14:paraId="62644FF8" w14:textId="79AC8637" w:rsidR="00CE285C" w:rsidRPr="002F19E8" w:rsidRDefault="004E47A2" w:rsidP="00CE285C">
            <w:pPr>
              <w:keepNext/>
              <w:autoSpaceDE w:val="0"/>
              <w:autoSpaceDN w:val="0"/>
              <w:spacing w:after="0" w:line="240" w:lineRule="auto"/>
              <w:contextualSpacing/>
              <w:jc w:val="both"/>
              <w:rPr>
                <w:rFonts w:ascii="Times New Roman" w:hAnsi="Times New Roman"/>
                <w:sz w:val="24"/>
                <w:szCs w:val="24"/>
              </w:rPr>
            </w:pPr>
            <w:r w:rsidRPr="002F19E8">
              <w:rPr>
                <w:rFonts w:ascii="Times New Roman" w:hAnsi="Times New Roman"/>
                <w:sz w:val="24"/>
                <w:szCs w:val="24"/>
                <w:lang w:val="en-US"/>
              </w:rPr>
              <w:t xml:space="preserve">Financial </w:t>
            </w:r>
            <w:r w:rsidR="003F2A4B">
              <w:rPr>
                <w:rFonts w:ascii="Times New Roman" w:hAnsi="Times New Roman"/>
                <w:sz w:val="24"/>
                <w:szCs w:val="24"/>
                <w:lang w:val="en-US"/>
              </w:rPr>
              <w:t>instrument</w:t>
            </w:r>
            <w:r w:rsidRPr="002F19E8">
              <w:rPr>
                <w:rFonts w:ascii="Times New Roman" w:hAnsi="Times New Roman"/>
                <w:sz w:val="24"/>
                <w:szCs w:val="24"/>
                <w:lang w:val="en-US"/>
              </w:rPr>
              <w:t xml:space="preserve"> "Trade credit insurance portfolio guarantee"</w:t>
            </w:r>
          </w:p>
        </w:tc>
      </w:tr>
      <w:tr w:rsidR="00796B74" w14:paraId="4FB24B31" w14:textId="77777777" w:rsidTr="00DA4696">
        <w:trPr>
          <w:trHeight w:val="1235"/>
        </w:trPr>
        <w:tc>
          <w:tcPr>
            <w:tcW w:w="2853" w:type="dxa"/>
          </w:tcPr>
          <w:p w14:paraId="2BD0FEBE" w14:textId="6AA5F087" w:rsidR="00CE285C" w:rsidRPr="002F19E8" w:rsidRDefault="004E47A2" w:rsidP="00CE285C">
            <w:pPr>
              <w:rPr>
                <w:rFonts w:ascii="Times New Roman" w:hAnsi="Times New Roman"/>
                <w:b/>
                <w:sz w:val="24"/>
                <w:szCs w:val="24"/>
              </w:rPr>
            </w:pPr>
            <w:r w:rsidRPr="002F19E8">
              <w:rPr>
                <w:rFonts w:ascii="Times New Roman" w:hAnsi="Times New Roman"/>
                <w:b/>
                <w:bCs/>
                <w:sz w:val="24"/>
                <w:szCs w:val="24"/>
                <w:lang w:val="en-US"/>
              </w:rPr>
              <w:t xml:space="preserve">Funds of the TCIPG </w:t>
            </w:r>
            <w:r w:rsidR="003F2A4B">
              <w:rPr>
                <w:rFonts w:ascii="Times New Roman" w:hAnsi="Times New Roman"/>
                <w:b/>
                <w:bCs/>
                <w:sz w:val="24"/>
                <w:szCs w:val="24"/>
                <w:lang w:val="en-US"/>
              </w:rPr>
              <w:t>instrument</w:t>
            </w:r>
          </w:p>
        </w:tc>
        <w:tc>
          <w:tcPr>
            <w:tcW w:w="6894" w:type="dxa"/>
          </w:tcPr>
          <w:p w14:paraId="0BC996FE" w14:textId="573BAE40" w:rsidR="00CE285C" w:rsidRPr="002F19E8" w:rsidRDefault="004E47A2" w:rsidP="00CE285C">
            <w:pPr>
              <w:jc w:val="both"/>
              <w:rPr>
                <w:rFonts w:ascii="Times New Roman" w:hAnsi="Times New Roman"/>
                <w:sz w:val="24"/>
                <w:szCs w:val="24"/>
              </w:rPr>
            </w:pPr>
            <w:r w:rsidRPr="002F19E8">
              <w:rPr>
                <w:rFonts w:ascii="Times New Roman" w:hAnsi="Times New Roman"/>
                <w:sz w:val="24"/>
                <w:szCs w:val="24"/>
                <w:lang w:val="en-US"/>
              </w:rPr>
              <w:t>The allocation of EUR</w:t>
            </w:r>
            <w:r w:rsidR="000755B2">
              <w:rPr>
                <w:rFonts w:ascii="Times New Roman" w:hAnsi="Times New Roman"/>
                <w:sz w:val="24"/>
                <w:szCs w:val="24"/>
                <w:lang w:val="en-US"/>
              </w:rPr>
              <w:t xml:space="preserve"> </w:t>
            </w:r>
            <w:r w:rsidR="00B11FC7">
              <w:rPr>
                <w:rFonts w:ascii="Times New Roman" w:hAnsi="Times New Roman"/>
                <w:sz w:val="24"/>
                <w:szCs w:val="24"/>
                <w:lang w:val="en-US"/>
              </w:rPr>
              <w:t>600</w:t>
            </w:r>
            <w:r w:rsidRPr="002F19E8">
              <w:rPr>
                <w:rFonts w:ascii="Times New Roman" w:hAnsi="Times New Roman"/>
                <w:sz w:val="24"/>
                <w:szCs w:val="24"/>
                <w:lang w:val="en-US"/>
              </w:rPr>
              <w:t xml:space="preserve"> million of the state budget funds of the Republic of Lithuania foreseen for the implementation of the TCIPG </w:t>
            </w:r>
            <w:r w:rsidR="003F2A4B">
              <w:rPr>
                <w:rFonts w:ascii="Times New Roman" w:hAnsi="Times New Roman"/>
                <w:sz w:val="24"/>
                <w:szCs w:val="24"/>
                <w:lang w:val="en-US"/>
              </w:rPr>
              <w:t>instrument</w:t>
            </w:r>
            <w:r w:rsidRPr="002F19E8">
              <w:rPr>
                <w:rFonts w:ascii="Times New Roman" w:hAnsi="Times New Roman"/>
                <w:sz w:val="24"/>
                <w:szCs w:val="24"/>
                <w:lang w:val="en-US"/>
              </w:rPr>
              <w:t xml:space="preserve"> to cover Insurance </w:t>
            </w:r>
            <w:r w:rsidR="0043291D">
              <w:rPr>
                <w:rFonts w:ascii="Times New Roman" w:hAnsi="Times New Roman"/>
                <w:sz w:val="24"/>
                <w:szCs w:val="24"/>
                <w:lang w:val="en-US"/>
              </w:rPr>
              <w:t>p</w:t>
            </w:r>
            <w:r w:rsidRPr="002F19E8">
              <w:rPr>
                <w:rFonts w:ascii="Times New Roman" w:hAnsi="Times New Roman"/>
                <w:sz w:val="24"/>
                <w:szCs w:val="24"/>
                <w:lang w:val="en-US"/>
              </w:rPr>
              <w:t>ortfolio losses incurred by Insurers</w:t>
            </w:r>
          </w:p>
        </w:tc>
      </w:tr>
      <w:tr w:rsidR="00796B74" w14:paraId="116588E8" w14:textId="77777777" w:rsidTr="000B4C06">
        <w:trPr>
          <w:trHeight w:val="1202"/>
        </w:trPr>
        <w:tc>
          <w:tcPr>
            <w:tcW w:w="2853" w:type="dxa"/>
          </w:tcPr>
          <w:p w14:paraId="05FB6421" w14:textId="2F818E4E" w:rsidR="00CE285C" w:rsidRPr="00CE285C" w:rsidRDefault="004E47A2" w:rsidP="00CE285C">
            <w:pPr>
              <w:rPr>
                <w:rFonts w:ascii="Times New Roman" w:hAnsi="Times New Roman"/>
                <w:b/>
                <w:sz w:val="24"/>
                <w:szCs w:val="24"/>
              </w:rPr>
            </w:pPr>
            <w:r w:rsidRPr="00E0074A">
              <w:rPr>
                <w:rFonts w:ascii="Times New Roman" w:hAnsi="Times New Roman"/>
                <w:b/>
                <w:bCs/>
                <w:sz w:val="24"/>
                <w:szCs w:val="24"/>
                <w:lang w:val="en-US"/>
              </w:rPr>
              <w:t xml:space="preserve">Structure of the TCIPG </w:t>
            </w:r>
            <w:r w:rsidR="003F2A4B">
              <w:rPr>
                <w:rFonts w:ascii="Times New Roman" w:hAnsi="Times New Roman"/>
                <w:b/>
                <w:bCs/>
                <w:sz w:val="24"/>
                <w:szCs w:val="24"/>
                <w:lang w:val="en-US"/>
              </w:rPr>
              <w:t>instrument</w:t>
            </w:r>
          </w:p>
        </w:tc>
        <w:tc>
          <w:tcPr>
            <w:tcW w:w="6894" w:type="dxa"/>
          </w:tcPr>
          <w:p w14:paraId="183D0ADA" w14:textId="183D262C" w:rsidR="00B07A8C" w:rsidRDefault="004E47A2" w:rsidP="00CE285C">
            <w:pPr>
              <w:jc w:val="both"/>
              <w:rPr>
                <w:rFonts w:ascii="Times New Roman" w:hAnsi="Times New Roman"/>
                <w:sz w:val="24"/>
                <w:szCs w:val="24"/>
              </w:rPr>
            </w:pPr>
            <w:r w:rsidRPr="002F19E8">
              <w:rPr>
                <w:rFonts w:ascii="Times New Roman" w:hAnsi="Times New Roman"/>
                <w:sz w:val="24"/>
                <w:szCs w:val="24"/>
                <w:lang w:val="en-US"/>
              </w:rPr>
              <w:t xml:space="preserve">The TCIPG </w:t>
            </w:r>
            <w:r w:rsidR="003F2A4B">
              <w:rPr>
                <w:rFonts w:ascii="Times New Roman" w:hAnsi="Times New Roman"/>
                <w:sz w:val="24"/>
                <w:szCs w:val="24"/>
                <w:lang w:val="en-US"/>
              </w:rPr>
              <w:t>instrument</w:t>
            </w:r>
            <w:r w:rsidRPr="002F19E8">
              <w:rPr>
                <w:rFonts w:ascii="Times New Roman" w:hAnsi="Times New Roman"/>
                <w:sz w:val="24"/>
                <w:szCs w:val="24"/>
                <w:lang w:val="en-US"/>
              </w:rPr>
              <w:t xml:space="preserve"> is based on the principle of loss sharing in 2 stages: </w:t>
            </w:r>
          </w:p>
          <w:p w14:paraId="78D5FDE5" w14:textId="3943E206" w:rsidR="00B07A8C" w:rsidRDefault="004E47A2" w:rsidP="0051699A">
            <w:pPr>
              <w:pStyle w:val="ListParagraph"/>
              <w:tabs>
                <w:tab w:val="left" w:pos="993"/>
              </w:tabs>
              <w:autoSpaceDE w:val="0"/>
              <w:autoSpaceDN w:val="0"/>
              <w:adjustRightInd w:val="0"/>
              <w:spacing w:after="0" w:line="240" w:lineRule="auto"/>
              <w:ind w:left="15"/>
              <w:jc w:val="both"/>
              <w:rPr>
                <w:rFonts w:ascii="Times New Roman" w:hAnsi="Times New Roman"/>
                <w:bCs/>
                <w:sz w:val="24"/>
                <w:szCs w:val="24"/>
              </w:rPr>
            </w:pPr>
            <w:r>
              <w:rPr>
                <w:rFonts w:ascii="Times New Roman" w:hAnsi="Times New Roman"/>
                <w:bCs/>
                <w:sz w:val="24"/>
                <w:szCs w:val="24"/>
                <w:lang w:val="en-US"/>
              </w:rPr>
              <w:t xml:space="preserve">- </w:t>
            </w:r>
            <w:r w:rsidRPr="00282A98">
              <w:rPr>
                <w:rFonts w:ascii="Times New Roman" w:hAnsi="Times New Roman"/>
                <w:bCs/>
                <w:sz w:val="24"/>
                <w:szCs w:val="24"/>
                <w:lang w:val="en-US"/>
              </w:rPr>
              <w:t>In stage 1,</w:t>
            </w:r>
            <w:r>
              <w:rPr>
                <w:rFonts w:ascii="Times New Roman" w:hAnsi="Times New Roman"/>
                <w:bCs/>
                <w:sz w:val="24"/>
                <w:szCs w:val="24"/>
                <w:lang w:val="en-US"/>
              </w:rPr>
              <w:t xml:space="preserve"> Insurers shall assume 10% of the loss of the formed Insurance </w:t>
            </w:r>
            <w:r w:rsidR="0043291D">
              <w:rPr>
                <w:rFonts w:ascii="Times New Roman" w:hAnsi="Times New Roman"/>
                <w:bCs/>
                <w:sz w:val="24"/>
                <w:szCs w:val="24"/>
                <w:lang w:val="en-US"/>
              </w:rPr>
              <w:t>p</w:t>
            </w:r>
            <w:r>
              <w:rPr>
                <w:rFonts w:ascii="Times New Roman" w:hAnsi="Times New Roman"/>
                <w:bCs/>
                <w:sz w:val="24"/>
                <w:szCs w:val="24"/>
                <w:lang w:val="en-US"/>
              </w:rPr>
              <w:t xml:space="preserve">ortfolio, not exceeding the total loss coverage </w:t>
            </w:r>
            <w:r w:rsidR="00D50DA0">
              <w:rPr>
                <w:rFonts w:ascii="Times New Roman" w:hAnsi="Times New Roman"/>
                <w:bCs/>
                <w:sz w:val="24"/>
                <w:szCs w:val="24"/>
                <w:lang w:val="en-US"/>
              </w:rPr>
              <w:t>volume</w:t>
            </w:r>
            <w:r>
              <w:rPr>
                <w:rFonts w:ascii="Times New Roman" w:hAnsi="Times New Roman"/>
                <w:bCs/>
                <w:sz w:val="24"/>
                <w:szCs w:val="24"/>
                <w:lang w:val="en-US"/>
              </w:rPr>
              <w:t xml:space="preserve"> of </w:t>
            </w:r>
            <w:r w:rsidR="000755B2">
              <w:rPr>
                <w:rFonts w:ascii="Times New Roman" w:hAnsi="Times New Roman"/>
                <w:bCs/>
                <w:sz w:val="24"/>
                <w:szCs w:val="24"/>
                <w:lang w:val="en-US"/>
              </w:rPr>
              <w:t xml:space="preserve">EUR </w:t>
            </w:r>
            <w:r w:rsidR="00B11FC7">
              <w:rPr>
                <w:rFonts w:ascii="Times New Roman" w:hAnsi="Times New Roman"/>
                <w:bCs/>
                <w:sz w:val="24"/>
                <w:szCs w:val="24"/>
                <w:lang w:val="en-US"/>
              </w:rPr>
              <w:t>10</w:t>
            </w:r>
            <w:r>
              <w:rPr>
                <w:rFonts w:ascii="Times New Roman" w:hAnsi="Times New Roman"/>
                <w:bCs/>
                <w:sz w:val="24"/>
                <w:szCs w:val="24"/>
                <w:lang w:val="en-US"/>
              </w:rPr>
              <w:t xml:space="preserve"> million, whereas Invega shall assume 90% of the loss of the Insurance </w:t>
            </w:r>
            <w:r w:rsidR="0043291D">
              <w:rPr>
                <w:rFonts w:ascii="Times New Roman" w:hAnsi="Times New Roman"/>
                <w:bCs/>
                <w:sz w:val="24"/>
                <w:szCs w:val="24"/>
                <w:lang w:val="en-US"/>
              </w:rPr>
              <w:t>p</w:t>
            </w:r>
            <w:r>
              <w:rPr>
                <w:rFonts w:ascii="Times New Roman" w:hAnsi="Times New Roman"/>
                <w:bCs/>
                <w:sz w:val="24"/>
                <w:szCs w:val="24"/>
                <w:lang w:val="en-US"/>
              </w:rPr>
              <w:t xml:space="preserve">ortfolio formed by the Insurers, not exceeding the total loss coverage volume of </w:t>
            </w:r>
            <w:r w:rsidRPr="00716893">
              <w:rPr>
                <w:rFonts w:ascii="Times New Roman" w:hAnsi="Times New Roman"/>
                <w:bCs/>
                <w:sz w:val="24"/>
                <w:szCs w:val="24"/>
                <w:lang w:val="en-US"/>
              </w:rPr>
              <w:t xml:space="preserve">EUR </w:t>
            </w:r>
            <w:r w:rsidR="00B11FC7">
              <w:rPr>
                <w:rFonts w:ascii="Times New Roman" w:hAnsi="Times New Roman"/>
                <w:bCs/>
                <w:sz w:val="24"/>
                <w:szCs w:val="24"/>
                <w:lang w:val="en-US"/>
              </w:rPr>
              <w:t>90</w:t>
            </w:r>
            <w:r w:rsidRPr="00716893">
              <w:rPr>
                <w:rFonts w:ascii="Times New Roman" w:hAnsi="Times New Roman"/>
                <w:bCs/>
                <w:sz w:val="24"/>
                <w:szCs w:val="24"/>
                <w:lang w:val="en-US"/>
              </w:rPr>
              <w:t xml:space="preserve"> million </w:t>
            </w:r>
          </w:p>
          <w:p w14:paraId="447A3CF1" w14:textId="58F32A18" w:rsidR="00B07A8C" w:rsidRDefault="004E47A2" w:rsidP="0051699A">
            <w:pPr>
              <w:pStyle w:val="ListParagraph"/>
              <w:tabs>
                <w:tab w:val="left" w:pos="993"/>
              </w:tabs>
              <w:autoSpaceDE w:val="0"/>
              <w:autoSpaceDN w:val="0"/>
              <w:adjustRightInd w:val="0"/>
              <w:spacing w:after="0" w:line="240" w:lineRule="auto"/>
              <w:ind w:left="15"/>
              <w:jc w:val="both"/>
              <w:rPr>
                <w:rFonts w:ascii="Times New Roman" w:hAnsi="Times New Roman"/>
                <w:bCs/>
                <w:sz w:val="24"/>
                <w:szCs w:val="24"/>
              </w:rPr>
            </w:pPr>
            <w:r>
              <w:rPr>
                <w:rFonts w:ascii="Times New Roman" w:hAnsi="Times New Roman"/>
                <w:bCs/>
                <w:sz w:val="24"/>
                <w:szCs w:val="24"/>
                <w:lang w:val="en-US"/>
              </w:rPr>
              <w:t xml:space="preserve">- when the total loss of the Insurers' Insurance </w:t>
            </w:r>
            <w:r w:rsidR="0043291D">
              <w:rPr>
                <w:rFonts w:ascii="Times New Roman" w:hAnsi="Times New Roman"/>
                <w:bCs/>
                <w:sz w:val="24"/>
                <w:szCs w:val="24"/>
                <w:lang w:val="en-US"/>
              </w:rPr>
              <w:t>p</w:t>
            </w:r>
            <w:r>
              <w:rPr>
                <w:rFonts w:ascii="Times New Roman" w:hAnsi="Times New Roman"/>
                <w:bCs/>
                <w:sz w:val="24"/>
                <w:szCs w:val="24"/>
                <w:lang w:val="en-US"/>
              </w:rPr>
              <w:t xml:space="preserve">ortfolios exceeds the total loss coverage volume provided for </w:t>
            </w:r>
            <w:r w:rsidRPr="00716893">
              <w:rPr>
                <w:rFonts w:ascii="Times New Roman" w:hAnsi="Times New Roman"/>
                <w:bCs/>
                <w:sz w:val="24"/>
                <w:szCs w:val="24"/>
                <w:lang w:val="en-US"/>
              </w:rPr>
              <w:t>in Stage 1, in Stage 2</w:t>
            </w:r>
            <w:r>
              <w:rPr>
                <w:rFonts w:ascii="Times New Roman" w:hAnsi="Times New Roman"/>
                <w:bCs/>
                <w:sz w:val="24"/>
                <w:szCs w:val="24"/>
                <w:lang w:val="en-US"/>
              </w:rPr>
              <w:t xml:space="preserve"> Invega shall assume 100% of the losses by the formed Insurance </w:t>
            </w:r>
            <w:r w:rsidR="0043291D">
              <w:rPr>
                <w:rFonts w:ascii="Times New Roman" w:hAnsi="Times New Roman"/>
                <w:bCs/>
                <w:sz w:val="24"/>
                <w:szCs w:val="24"/>
                <w:lang w:val="en-US"/>
              </w:rPr>
              <w:t>p</w:t>
            </w:r>
            <w:r>
              <w:rPr>
                <w:rFonts w:ascii="Times New Roman" w:hAnsi="Times New Roman"/>
                <w:bCs/>
                <w:sz w:val="24"/>
                <w:szCs w:val="24"/>
                <w:lang w:val="en-US"/>
              </w:rPr>
              <w:t xml:space="preserve">ortfolio, not exceeding the total loss coverage volume of EUR </w:t>
            </w:r>
            <w:r w:rsidR="00B11FC7">
              <w:rPr>
                <w:rFonts w:ascii="Times New Roman" w:hAnsi="Times New Roman"/>
                <w:bCs/>
                <w:sz w:val="24"/>
                <w:szCs w:val="24"/>
                <w:lang w:val="en-US"/>
              </w:rPr>
              <w:t>500</w:t>
            </w:r>
            <w:r>
              <w:rPr>
                <w:rFonts w:ascii="Times New Roman" w:hAnsi="Times New Roman"/>
                <w:bCs/>
                <w:sz w:val="24"/>
                <w:szCs w:val="24"/>
                <w:lang w:val="en-US"/>
              </w:rPr>
              <w:t xml:space="preserve"> million</w:t>
            </w:r>
            <w:r w:rsidR="001C575D">
              <w:rPr>
                <w:rFonts w:ascii="Times New Roman" w:hAnsi="Times New Roman"/>
                <w:bCs/>
                <w:sz w:val="24"/>
                <w:szCs w:val="24"/>
                <w:lang w:val="en-US"/>
              </w:rPr>
              <w:t>.</w:t>
            </w:r>
          </w:p>
          <w:p w14:paraId="06A0E755" w14:textId="5F4FE0E9" w:rsidR="00901AB0" w:rsidRPr="002F19E8" w:rsidRDefault="004E47A2" w:rsidP="00716893">
            <w:pPr>
              <w:spacing w:after="0" w:line="240" w:lineRule="auto"/>
              <w:jc w:val="both"/>
              <w:rPr>
                <w:rFonts w:ascii="Times New Roman" w:hAnsi="Times New Roman"/>
                <w:sz w:val="24"/>
                <w:szCs w:val="24"/>
              </w:rPr>
            </w:pPr>
            <w:r w:rsidRPr="002F19E8">
              <w:rPr>
                <w:rFonts w:ascii="Times New Roman" w:hAnsi="Times New Roman"/>
                <w:sz w:val="24"/>
                <w:szCs w:val="24"/>
                <w:lang w:val="en-US"/>
              </w:rPr>
              <w:lastRenderedPageBreak/>
              <w:t>If the Policyholder's buyer fails to perform its obligations or if bankruptcy proceedings are instituted against the buyer, the Insurer</w:t>
            </w:r>
            <w:r w:rsidR="003527CE">
              <w:rPr>
                <w:rFonts w:ascii="Times New Roman" w:hAnsi="Times New Roman"/>
                <w:sz w:val="24"/>
                <w:szCs w:val="24"/>
                <w:lang w:val="en-US"/>
              </w:rPr>
              <w:t xml:space="preserve">, </w:t>
            </w:r>
            <w:r w:rsidR="003527CE" w:rsidRPr="003527CE">
              <w:rPr>
                <w:rFonts w:ascii="Times New Roman" w:hAnsi="Times New Roman"/>
                <w:sz w:val="24"/>
                <w:szCs w:val="24"/>
                <w:lang w:val="en-US"/>
              </w:rPr>
              <w:t>in accordance with its internal procedures</w:t>
            </w:r>
            <w:r w:rsidR="003527CE">
              <w:rPr>
                <w:rFonts w:ascii="Times New Roman" w:hAnsi="Times New Roman"/>
                <w:sz w:val="24"/>
                <w:szCs w:val="24"/>
                <w:lang w:val="en-US"/>
              </w:rPr>
              <w:t>,</w:t>
            </w:r>
            <w:r w:rsidRPr="002F19E8">
              <w:rPr>
                <w:rFonts w:ascii="Times New Roman" w:hAnsi="Times New Roman"/>
                <w:sz w:val="24"/>
                <w:szCs w:val="24"/>
                <w:lang w:val="en-US"/>
              </w:rPr>
              <w:t xml:space="preserve"> shall cover the losses to the Policyholder and apply to Invega for </w:t>
            </w:r>
            <w:r w:rsidR="00D50DA0">
              <w:rPr>
                <w:rFonts w:ascii="Times New Roman" w:hAnsi="Times New Roman"/>
                <w:sz w:val="24"/>
                <w:szCs w:val="24"/>
                <w:lang w:val="en-US"/>
              </w:rPr>
              <w:t xml:space="preserve">a </w:t>
            </w:r>
            <w:r w:rsidRPr="002F19E8">
              <w:rPr>
                <w:rFonts w:ascii="Times New Roman" w:hAnsi="Times New Roman"/>
                <w:sz w:val="24"/>
                <w:szCs w:val="24"/>
                <w:lang w:val="en-US"/>
              </w:rPr>
              <w:t xml:space="preserve">partial compensation of losses.   </w:t>
            </w:r>
          </w:p>
          <w:p w14:paraId="65D7585B" w14:textId="15889483" w:rsidR="00CE285C" w:rsidRPr="002F19E8" w:rsidRDefault="004E47A2" w:rsidP="00716893">
            <w:pPr>
              <w:spacing w:after="0" w:line="240" w:lineRule="auto"/>
              <w:jc w:val="both"/>
              <w:rPr>
                <w:rFonts w:ascii="Times New Roman" w:hAnsi="Times New Roman"/>
                <w:sz w:val="24"/>
                <w:szCs w:val="24"/>
              </w:rPr>
            </w:pPr>
            <w:r>
              <w:rPr>
                <w:rFonts w:ascii="Times New Roman" w:hAnsi="Times New Roman"/>
                <w:sz w:val="24"/>
                <w:szCs w:val="24"/>
                <w:lang w:val="en-US"/>
              </w:rPr>
              <w:t xml:space="preserve">After the payment is made by Invega, the Insurer shall collect and/or recover the debt from the Policyholder's buyer and transfer the collected and/or recovered amounts to the INVEGA </w:t>
            </w:r>
            <w:r w:rsidR="001C575D">
              <w:rPr>
                <w:rFonts w:ascii="Times New Roman" w:hAnsi="Times New Roman"/>
                <w:sz w:val="24"/>
                <w:szCs w:val="24"/>
                <w:lang w:val="en-US"/>
              </w:rPr>
              <w:t>f</w:t>
            </w:r>
            <w:r>
              <w:rPr>
                <w:rFonts w:ascii="Times New Roman" w:hAnsi="Times New Roman"/>
                <w:sz w:val="24"/>
                <w:szCs w:val="24"/>
                <w:lang w:val="en-US"/>
              </w:rPr>
              <w:t>und</w:t>
            </w:r>
            <w:r w:rsidR="003B7EA6">
              <w:rPr>
                <w:rFonts w:ascii="Times New Roman" w:hAnsi="Times New Roman"/>
                <w:sz w:val="24"/>
                <w:szCs w:val="24"/>
                <w:lang w:val="en-US"/>
              </w:rPr>
              <w:t>.</w:t>
            </w:r>
            <w:r>
              <w:rPr>
                <w:rFonts w:ascii="Times New Roman" w:hAnsi="Times New Roman"/>
                <w:sz w:val="24"/>
                <w:szCs w:val="24"/>
                <w:lang w:val="en-US"/>
              </w:rPr>
              <w:t xml:space="preserve"> This amount returned to the INVEGA </w:t>
            </w:r>
            <w:r w:rsidR="001C575D">
              <w:rPr>
                <w:rFonts w:ascii="Times New Roman" w:hAnsi="Times New Roman"/>
                <w:sz w:val="24"/>
                <w:szCs w:val="24"/>
                <w:lang w:val="en-US"/>
              </w:rPr>
              <w:t>f</w:t>
            </w:r>
            <w:r>
              <w:rPr>
                <w:rFonts w:ascii="Times New Roman" w:hAnsi="Times New Roman"/>
                <w:sz w:val="24"/>
                <w:szCs w:val="24"/>
                <w:lang w:val="en-US"/>
              </w:rPr>
              <w:t xml:space="preserve">und </w:t>
            </w:r>
            <w:r w:rsidR="002645B2">
              <w:rPr>
                <w:rFonts w:ascii="Times New Roman" w:hAnsi="Times New Roman"/>
                <w:sz w:val="24"/>
                <w:szCs w:val="24"/>
                <w:lang w:val="en-US"/>
              </w:rPr>
              <w:t>shall be</w:t>
            </w:r>
            <w:r>
              <w:rPr>
                <w:rFonts w:ascii="Times New Roman" w:hAnsi="Times New Roman"/>
                <w:sz w:val="24"/>
                <w:szCs w:val="24"/>
                <w:lang w:val="en-US"/>
              </w:rPr>
              <w:t xml:space="preserve"> reduced by the amount of losses actually covered for the Insurer and recalculated into the </w:t>
            </w:r>
            <w:r w:rsidR="002645B2">
              <w:rPr>
                <w:rFonts w:ascii="Times New Roman" w:hAnsi="Times New Roman"/>
                <w:sz w:val="24"/>
                <w:szCs w:val="24"/>
                <w:lang w:val="en-US"/>
              </w:rPr>
              <w:t>m</w:t>
            </w:r>
            <w:r>
              <w:rPr>
                <w:rFonts w:ascii="Times New Roman" w:hAnsi="Times New Roman"/>
                <w:sz w:val="24"/>
                <w:szCs w:val="24"/>
                <w:lang w:val="en-US"/>
              </w:rPr>
              <w:t>aximum loss coverage volume</w:t>
            </w:r>
          </w:p>
        </w:tc>
      </w:tr>
      <w:tr w:rsidR="00796B74" w14:paraId="02A5DA3C" w14:textId="77777777" w:rsidTr="00DA4696">
        <w:trPr>
          <w:trHeight w:val="368"/>
        </w:trPr>
        <w:tc>
          <w:tcPr>
            <w:tcW w:w="2853" w:type="dxa"/>
          </w:tcPr>
          <w:p w14:paraId="7F41EAB1" w14:textId="77777777" w:rsidR="00040A1B" w:rsidRPr="002F19E8" w:rsidRDefault="004E47A2" w:rsidP="00030531">
            <w:pPr>
              <w:keepNext/>
              <w:autoSpaceDE w:val="0"/>
              <w:autoSpaceDN w:val="0"/>
              <w:spacing w:after="0" w:line="240" w:lineRule="auto"/>
              <w:contextualSpacing/>
              <w:rPr>
                <w:rFonts w:ascii="Times New Roman" w:hAnsi="Times New Roman"/>
                <w:b/>
                <w:sz w:val="24"/>
                <w:szCs w:val="24"/>
              </w:rPr>
            </w:pPr>
            <w:r w:rsidRPr="002F19E8">
              <w:rPr>
                <w:rFonts w:ascii="Times New Roman" w:hAnsi="Times New Roman"/>
                <w:b/>
                <w:sz w:val="24"/>
                <w:szCs w:val="24"/>
                <w:lang w:val="en-US"/>
              </w:rPr>
              <w:lastRenderedPageBreak/>
              <w:t xml:space="preserve">Insurer </w:t>
            </w:r>
          </w:p>
        </w:tc>
        <w:tc>
          <w:tcPr>
            <w:tcW w:w="6894" w:type="dxa"/>
          </w:tcPr>
          <w:p w14:paraId="1ED59445" w14:textId="77777777" w:rsidR="00040A1B" w:rsidRPr="002F19E8" w:rsidRDefault="004E47A2" w:rsidP="008474C6">
            <w:pPr>
              <w:keepNext/>
              <w:autoSpaceDE w:val="0"/>
              <w:autoSpaceDN w:val="0"/>
              <w:spacing w:after="0" w:line="240" w:lineRule="auto"/>
              <w:contextualSpacing/>
              <w:jc w:val="both"/>
              <w:rPr>
                <w:rFonts w:ascii="Times New Roman" w:hAnsi="Times New Roman"/>
                <w:sz w:val="24"/>
                <w:szCs w:val="24"/>
              </w:rPr>
            </w:pPr>
            <w:r w:rsidRPr="002F19E8">
              <w:rPr>
                <w:rFonts w:ascii="Times New Roman" w:hAnsi="Times New Roman"/>
                <w:sz w:val="24"/>
                <w:szCs w:val="24"/>
                <w:lang w:val="en-US"/>
              </w:rPr>
              <w:t>An insurance company that has the right to carry out insurance activities and provides trade credit insurance in accordance with the procedure established by legal acts</w:t>
            </w:r>
          </w:p>
        </w:tc>
      </w:tr>
      <w:tr w:rsidR="00796B74" w14:paraId="2FD8D2F3" w14:textId="77777777" w:rsidTr="00DA4696">
        <w:trPr>
          <w:trHeight w:val="368"/>
        </w:trPr>
        <w:tc>
          <w:tcPr>
            <w:tcW w:w="2853" w:type="dxa"/>
          </w:tcPr>
          <w:p w14:paraId="2FB1E7FF" w14:textId="1A6589ED" w:rsidR="00CE285C" w:rsidRPr="002F19E8" w:rsidRDefault="004E47A2" w:rsidP="00AF5911">
            <w:pPr>
              <w:keepNext/>
              <w:autoSpaceDE w:val="0"/>
              <w:autoSpaceDN w:val="0"/>
              <w:spacing w:after="0" w:line="240" w:lineRule="auto"/>
              <w:contextualSpacing/>
              <w:rPr>
                <w:rFonts w:ascii="Times New Roman" w:hAnsi="Times New Roman"/>
                <w:b/>
                <w:sz w:val="24"/>
                <w:szCs w:val="24"/>
              </w:rPr>
            </w:pPr>
            <w:r w:rsidRPr="002F19E8">
              <w:rPr>
                <w:rFonts w:ascii="Times New Roman" w:hAnsi="Times New Roman"/>
                <w:b/>
                <w:sz w:val="24"/>
                <w:szCs w:val="24"/>
                <w:lang w:val="en-US"/>
              </w:rPr>
              <w:t xml:space="preserve">Portfolio of </w:t>
            </w:r>
            <w:r w:rsidR="0043291D">
              <w:rPr>
                <w:rFonts w:ascii="Times New Roman" w:hAnsi="Times New Roman"/>
                <w:b/>
                <w:sz w:val="24"/>
                <w:szCs w:val="24"/>
                <w:lang w:val="en-US"/>
              </w:rPr>
              <w:t>I</w:t>
            </w:r>
            <w:r w:rsidRPr="002F19E8">
              <w:rPr>
                <w:rFonts w:ascii="Times New Roman" w:hAnsi="Times New Roman"/>
                <w:b/>
                <w:sz w:val="24"/>
                <w:szCs w:val="24"/>
                <w:lang w:val="en-US"/>
              </w:rPr>
              <w:t xml:space="preserve">nsurance </w:t>
            </w:r>
            <w:r w:rsidR="0043291D">
              <w:rPr>
                <w:rFonts w:ascii="Times New Roman" w:hAnsi="Times New Roman"/>
                <w:b/>
                <w:sz w:val="24"/>
                <w:szCs w:val="24"/>
                <w:lang w:val="en-US"/>
              </w:rPr>
              <w:t>c</w:t>
            </w:r>
            <w:r w:rsidRPr="002F19E8">
              <w:rPr>
                <w:rFonts w:ascii="Times New Roman" w:hAnsi="Times New Roman"/>
                <w:b/>
                <w:sz w:val="24"/>
                <w:szCs w:val="24"/>
                <w:lang w:val="en-US"/>
              </w:rPr>
              <w:t>ontracts</w:t>
            </w:r>
          </w:p>
        </w:tc>
        <w:tc>
          <w:tcPr>
            <w:tcW w:w="6894" w:type="dxa"/>
          </w:tcPr>
          <w:p w14:paraId="4C9E2A00" w14:textId="77777777" w:rsidR="00CE285C" w:rsidRDefault="00DB006A" w:rsidP="00CE285C">
            <w:pPr>
              <w:keepNext/>
              <w:autoSpaceDE w:val="0"/>
              <w:autoSpaceDN w:val="0"/>
              <w:spacing w:after="0" w:line="240" w:lineRule="auto"/>
              <w:contextualSpacing/>
              <w:jc w:val="both"/>
              <w:rPr>
                <w:rFonts w:ascii="Times New Roman" w:hAnsi="Times New Roman"/>
                <w:sz w:val="24"/>
                <w:szCs w:val="24"/>
                <w:lang w:val="en-US"/>
              </w:rPr>
            </w:pPr>
            <w:r>
              <w:rPr>
                <w:rFonts w:ascii="Times New Roman" w:hAnsi="Times New Roman"/>
                <w:sz w:val="24"/>
                <w:szCs w:val="24"/>
                <w:lang w:val="en-US"/>
              </w:rPr>
              <w:t>A</w:t>
            </w:r>
            <w:r w:rsidR="004E47A2" w:rsidRPr="002F19E8">
              <w:rPr>
                <w:rFonts w:ascii="Times New Roman" w:hAnsi="Times New Roman"/>
                <w:sz w:val="24"/>
                <w:szCs w:val="24"/>
                <w:lang w:val="en-US"/>
              </w:rPr>
              <w:t xml:space="preserve"> portfolio formed by the Insurer, which includes Insurance </w:t>
            </w:r>
            <w:r w:rsidR="0043291D">
              <w:rPr>
                <w:rFonts w:ascii="Times New Roman" w:hAnsi="Times New Roman"/>
                <w:sz w:val="24"/>
                <w:szCs w:val="24"/>
                <w:lang w:val="en-US"/>
              </w:rPr>
              <w:t>c</w:t>
            </w:r>
            <w:r w:rsidR="004E47A2" w:rsidRPr="002F19E8">
              <w:rPr>
                <w:rFonts w:ascii="Times New Roman" w:hAnsi="Times New Roman"/>
                <w:sz w:val="24"/>
                <w:szCs w:val="24"/>
                <w:lang w:val="en-US"/>
              </w:rPr>
              <w:t>ontracts signed with Policyholders</w:t>
            </w:r>
            <w:r w:rsidR="005F3B4E">
              <w:rPr>
                <w:rFonts w:ascii="Times New Roman" w:hAnsi="Times New Roman"/>
                <w:sz w:val="24"/>
                <w:szCs w:val="24"/>
                <w:lang w:val="en-US"/>
              </w:rPr>
              <w:t>.</w:t>
            </w:r>
          </w:p>
          <w:p w14:paraId="571DDDF5" w14:textId="3FC58E61" w:rsidR="005F3B4E" w:rsidRPr="002F19E8" w:rsidRDefault="005F3B4E" w:rsidP="00CE285C">
            <w:pPr>
              <w:keepNext/>
              <w:autoSpaceDE w:val="0"/>
              <w:autoSpaceDN w:val="0"/>
              <w:spacing w:after="0" w:line="240" w:lineRule="auto"/>
              <w:contextualSpacing/>
              <w:jc w:val="both"/>
              <w:rPr>
                <w:rFonts w:ascii="Times New Roman" w:hAnsi="Times New Roman"/>
                <w:sz w:val="24"/>
                <w:szCs w:val="24"/>
              </w:rPr>
            </w:pPr>
            <w:proofErr w:type="spellStart"/>
            <w:r w:rsidRPr="005F3B4E">
              <w:rPr>
                <w:rFonts w:ascii="Times New Roman" w:hAnsi="Times New Roman"/>
                <w:sz w:val="24"/>
                <w:szCs w:val="24"/>
              </w:rPr>
              <w:t>The</w:t>
            </w:r>
            <w:proofErr w:type="spellEnd"/>
            <w:r w:rsidRPr="005F3B4E">
              <w:rPr>
                <w:rFonts w:ascii="Times New Roman" w:hAnsi="Times New Roman"/>
                <w:sz w:val="24"/>
                <w:szCs w:val="24"/>
              </w:rPr>
              <w:t xml:space="preserve"> </w:t>
            </w:r>
            <w:proofErr w:type="spellStart"/>
            <w:r w:rsidRPr="005F3B4E">
              <w:rPr>
                <w:rFonts w:ascii="Times New Roman" w:hAnsi="Times New Roman"/>
                <w:sz w:val="24"/>
                <w:szCs w:val="24"/>
              </w:rPr>
              <w:t>Insurance</w:t>
            </w:r>
            <w:proofErr w:type="spellEnd"/>
            <w:r w:rsidRPr="005F3B4E">
              <w:rPr>
                <w:rFonts w:ascii="Times New Roman" w:hAnsi="Times New Roman"/>
                <w:sz w:val="24"/>
                <w:szCs w:val="24"/>
              </w:rPr>
              <w:t xml:space="preserve"> </w:t>
            </w:r>
            <w:proofErr w:type="spellStart"/>
            <w:r>
              <w:rPr>
                <w:rFonts w:ascii="Times New Roman" w:hAnsi="Times New Roman"/>
                <w:sz w:val="24"/>
                <w:szCs w:val="24"/>
              </w:rPr>
              <w:t>p</w:t>
            </w:r>
            <w:r w:rsidRPr="005F3B4E">
              <w:rPr>
                <w:rFonts w:ascii="Times New Roman" w:hAnsi="Times New Roman"/>
                <w:sz w:val="24"/>
                <w:szCs w:val="24"/>
              </w:rPr>
              <w:t>ortfolio</w:t>
            </w:r>
            <w:proofErr w:type="spellEnd"/>
            <w:r w:rsidRPr="005F3B4E">
              <w:rPr>
                <w:rFonts w:ascii="Times New Roman" w:hAnsi="Times New Roman"/>
                <w:sz w:val="24"/>
                <w:szCs w:val="24"/>
              </w:rPr>
              <w:t xml:space="preserve"> </w:t>
            </w:r>
            <w:proofErr w:type="spellStart"/>
            <w:r w:rsidRPr="005F3B4E">
              <w:rPr>
                <w:rFonts w:ascii="Times New Roman" w:hAnsi="Times New Roman"/>
                <w:sz w:val="24"/>
                <w:szCs w:val="24"/>
              </w:rPr>
              <w:t>includes</w:t>
            </w:r>
            <w:proofErr w:type="spellEnd"/>
            <w:r w:rsidRPr="005F3B4E">
              <w:rPr>
                <w:rFonts w:ascii="Times New Roman" w:hAnsi="Times New Roman"/>
                <w:sz w:val="24"/>
                <w:szCs w:val="24"/>
              </w:rPr>
              <w:t xml:space="preserve"> </w:t>
            </w:r>
            <w:proofErr w:type="spellStart"/>
            <w:r w:rsidRPr="005F3B4E">
              <w:rPr>
                <w:rFonts w:ascii="Times New Roman" w:hAnsi="Times New Roman"/>
                <w:sz w:val="24"/>
                <w:szCs w:val="24"/>
              </w:rPr>
              <w:t>all</w:t>
            </w:r>
            <w:proofErr w:type="spellEnd"/>
            <w:r w:rsidRPr="005F3B4E">
              <w:rPr>
                <w:rFonts w:ascii="Times New Roman" w:hAnsi="Times New Roman"/>
                <w:sz w:val="24"/>
                <w:szCs w:val="24"/>
              </w:rPr>
              <w:t xml:space="preserve"> </w:t>
            </w:r>
            <w:proofErr w:type="spellStart"/>
            <w:r w:rsidRPr="005F3B4E">
              <w:rPr>
                <w:rFonts w:ascii="Times New Roman" w:hAnsi="Times New Roman"/>
                <w:sz w:val="24"/>
                <w:szCs w:val="24"/>
              </w:rPr>
              <w:t>Insurance</w:t>
            </w:r>
            <w:proofErr w:type="spellEnd"/>
            <w:r w:rsidRPr="005F3B4E">
              <w:rPr>
                <w:rFonts w:ascii="Times New Roman" w:hAnsi="Times New Roman"/>
                <w:sz w:val="24"/>
                <w:szCs w:val="24"/>
              </w:rPr>
              <w:t xml:space="preserve"> </w:t>
            </w:r>
            <w:proofErr w:type="spellStart"/>
            <w:r>
              <w:rPr>
                <w:rFonts w:ascii="Times New Roman" w:hAnsi="Times New Roman"/>
                <w:sz w:val="24"/>
                <w:szCs w:val="24"/>
              </w:rPr>
              <w:t>c</w:t>
            </w:r>
            <w:r w:rsidRPr="005F3B4E">
              <w:rPr>
                <w:rFonts w:ascii="Times New Roman" w:hAnsi="Times New Roman"/>
                <w:sz w:val="24"/>
                <w:szCs w:val="24"/>
              </w:rPr>
              <w:t>ontracts</w:t>
            </w:r>
            <w:proofErr w:type="spellEnd"/>
            <w:r w:rsidRPr="005F3B4E">
              <w:rPr>
                <w:rFonts w:ascii="Times New Roman" w:hAnsi="Times New Roman"/>
                <w:sz w:val="24"/>
                <w:szCs w:val="24"/>
              </w:rPr>
              <w:t xml:space="preserve"> </w:t>
            </w:r>
            <w:proofErr w:type="spellStart"/>
            <w:r w:rsidRPr="005F3B4E">
              <w:rPr>
                <w:rFonts w:ascii="Times New Roman" w:hAnsi="Times New Roman"/>
                <w:sz w:val="24"/>
                <w:szCs w:val="24"/>
              </w:rPr>
              <w:t>that</w:t>
            </w:r>
            <w:proofErr w:type="spellEnd"/>
            <w:r w:rsidRPr="005F3B4E">
              <w:rPr>
                <w:rFonts w:ascii="Times New Roman" w:hAnsi="Times New Roman"/>
                <w:sz w:val="24"/>
                <w:szCs w:val="24"/>
              </w:rPr>
              <w:t xml:space="preserve"> </w:t>
            </w:r>
            <w:proofErr w:type="spellStart"/>
            <w:r w:rsidRPr="005F3B4E">
              <w:rPr>
                <w:rFonts w:ascii="Times New Roman" w:hAnsi="Times New Roman"/>
                <w:sz w:val="24"/>
                <w:szCs w:val="24"/>
              </w:rPr>
              <w:t>meet</w:t>
            </w:r>
            <w:proofErr w:type="spellEnd"/>
            <w:r w:rsidRPr="005F3B4E">
              <w:rPr>
                <w:rFonts w:ascii="Times New Roman" w:hAnsi="Times New Roman"/>
                <w:sz w:val="24"/>
                <w:szCs w:val="24"/>
              </w:rPr>
              <w:t xml:space="preserve"> </w:t>
            </w:r>
            <w:proofErr w:type="spellStart"/>
            <w:r w:rsidRPr="005F3B4E">
              <w:rPr>
                <w:rFonts w:ascii="Times New Roman" w:hAnsi="Times New Roman"/>
                <w:sz w:val="24"/>
                <w:szCs w:val="24"/>
              </w:rPr>
              <w:t>the</w:t>
            </w:r>
            <w:proofErr w:type="spellEnd"/>
            <w:r w:rsidRPr="005F3B4E">
              <w:rPr>
                <w:rFonts w:ascii="Times New Roman" w:hAnsi="Times New Roman"/>
                <w:sz w:val="24"/>
                <w:szCs w:val="24"/>
              </w:rPr>
              <w:t xml:space="preserve"> </w:t>
            </w:r>
            <w:r w:rsidRPr="005F3B4E">
              <w:rPr>
                <w:rFonts w:ascii="Times New Roman" w:hAnsi="Times New Roman"/>
                <w:sz w:val="24"/>
                <w:szCs w:val="24"/>
                <w:lang w:val="en-US"/>
              </w:rPr>
              <w:t>Eligibility conditions for insurance contracts included in Insurance portfolios</w:t>
            </w:r>
          </w:p>
        </w:tc>
      </w:tr>
      <w:tr w:rsidR="00796B74" w14:paraId="2D356A2A" w14:textId="77777777" w:rsidTr="00030531">
        <w:trPr>
          <w:trHeight w:val="368"/>
        </w:trPr>
        <w:tc>
          <w:tcPr>
            <w:tcW w:w="2853" w:type="dxa"/>
            <w:shd w:val="clear" w:color="auto" w:fill="auto"/>
          </w:tcPr>
          <w:p w14:paraId="2C21910A" w14:textId="5900C351" w:rsidR="008256E9" w:rsidRPr="002F19E8" w:rsidRDefault="004E47A2" w:rsidP="00CE285C">
            <w:pPr>
              <w:keepNext/>
              <w:autoSpaceDE w:val="0"/>
              <w:autoSpaceDN w:val="0"/>
              <w:spacing w:after="0" w:line="240" w:lineRule="auto"/>
              <w:contextualSpacing/>
              <w:jc w:val="both"/>
              <w:rPr>
                <w:rFonts w:ascii="Times New Roman" w:hAnsi="Times New Roman"/>
                <w:b/>
                <w:bCs/>
                <w:sz w:val="24"/>
                <w:szCs w:val="24"/>
              </w:rPr>
            </w:pPr>
            <w:r w:rsidRPr="002F19E8">
              <w:rPr>
                <w:rFonts w:ascii="Times New Roman" w:hAnsi="Times New Roman"/>
                <w:b/>
                <w:bCs/>
                <w:sz w:val="24"/>
                <w:szCs w:val="24"/>
                <w:lang w:val="en-US"/>
              </w:rPr>
              <w:t xml:space="preserve">Insurance </w:t>
            </w:r>
            <w:r w:rsidR="0043291D">
              <w:rPr>
                <w:rFonts w:ascii="Times New Roman" w:hAnsi="Times New Roman"/>
                <w:b/>
                <w:bCs/>
                <w:sz w:val="24"/>
                <w:szCs w:val="24"/>
                <w:lang w:val="en-US"/>
              </w:rPr>
              <w:t>c</w:t>
            </w:r>
            <w:r w:rsidRPr="002F19E8">
              <w:rPr>
                <w:rFonts w:ascii="Times New Roman" w:hAnsi="Times New Roman"/>
                <w:b/>
                <w:bCs/>
                <w:sz w:val="24"/>
                <w:szCs w:val="24"/>
                <w:lang w:val="en-US"/>
              </w:rPr>
              <w:t>ontract</w:t>
            </w:r>
          </w:p>
        </w:tc>
        <w:tc>
          <w:tcPr>
            <w:tcW w:w="6894" w:type="dxa"/>
            <w:shd w:val="clear" w:color="auto" w:fill="auto"/>
          </w:tcPr>
          <w:p w14:paraId="1EC60187" w14:textId="4C7D61FA" w:rsidR="008256E9" w:rsidRPr="002F19E8" w:rsidRDefault="00DB006A" w:rsidP="00CE285C">
            <w:pPr>
              <w:keepNext/>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lang w:val="en-US"/>
              </w:rPr>
              <w:t>A t</w:t>
            </w:r>
            <w:r w:rsidR="004E47A2" w:rsidRPr="002F19E8">
              <w:rPr>
                <w:rFonts w:ascii="Times New Roman" w:hAnsi="Times New Roman"/>
                <w:sz w:val="24"/>
                <w:szCs w:val="24"/>
                <w:lang w:val="en-US"/>
              </w:rPr>
              <w:t>rade credit insurance contract signed with the Policyholder for</w:t>
            </w:r>
            <w:r>
              <w:rPr>
                <w:rFonts w:ascii="Times New Roman" w:hAnsi="Times New Roman"/>
                <w:sz w:val="24"/>
                <w:szCs w:val="24"/>
                <w:lang w:val="en-US"/>
              </w:rPr>
              <w:t xml:space="preserve"> a</w:t>
            </w:r>
            <w:r w:rsidR="004E47A2" w:rsidRPr="002F19E8">
              <w:rPr>
                <w:rFonts w:ascii="Times New Roman" w:hAnsi="Times New Roman"/>
                <w:sz w:val="24"/>
                <w:szCs w:val="24"/>
                <w:lang w:val="en-US"/>
              </w:rPr>
              <w:t xml:space="preserve"> partial deferred payment under concluded purchase and sale contracts or concluded service provision contracts with buyers</w:t>
            </w:r>
          </w:p>
        </w:tc>
      </w:tr>
      <w:tr w:rsidR="00796B74" w14:paraId="1AC2C048" w14:textId="77777777" w:rsidTr="00030531">
        <w:trPr>
          <w:trHeight w:val="368"/>
        </w:trPr>
        <w:tc>
          <w:tcPr>
            <w:tcW w:w="2853" w:type="dxa"/>
            <w:shd w:val="clear" w:color="auto" w:fill="auto"/>
          </w:tcPr>
          <w:p w14:paraId="7536AA17" w14:textId="77777777" w:rsidR="00AF4D1E" w:rsidRPr="002F19E8" w:rsidRDefault="004E47A2" w:rsidP="00CE285C">
            <w:pPr>
              <w:keepNext/>
              <w:autoSpaceDE w:val="0"/>
              <w:autoSpaceDN w:val="0"/>
              <w:spacing w:after="0" w:line="240" w:lineRule="auto"/>
              <w:contextualSpacing/>
              <w:jc w:val="both"/>
              <w:rPr>
                <w:rFonts w:ascii="Times New Roman" w:hAnsi="Times New Roman"/>
                <w:b/>
                <w:bCs/>
                <w:sz w:val="24"/>
                <w:szCs w:val="24"/>
              </w:rPr>
            </w:pPr>
            <w:r w:rsidRPr="002F19E8">
              <w:rPr>
                <w:rFonts w:ascii="Times New Roman" w:hAnsi="Times New Roman"/>
                <w:b/>
                <w:bCs/>
                <w:sz w:val="24"/>
                <w:szCs w:val="24"/>
                <w:lang w:val="en-US"/>
              </w:rPr>
              <w:t>Insurance premium</w:t>
            </w:r>
          </w:p>
        </w:tc>
        <w:tc>
          <w:tcPr>
            <w:tcW w:w="6894" w:type="dxa"/>
            <w:shd w:val="clear" w:color="auto" w:fill="auto"/>
          </w:tcPr>
          <w:p w14:paraId="4D283695" w14:textId="1BAA13F1" w:rsidR="00AF4D1E" w:rsidRPr="002F19E8" w:rsidRDefault="00DB006A" w:rsidP="00CE285C">
            <w:pPr>
              <w:keepNext/>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lang w:val="en-US"/>
              </w:rPr>
              <w:t>A</w:t>
            </w:r>
            <w:r w:rsidR="004E47A2" w:rsidRPr="002F19E8">
              <w:rPr>
                <w:rFonts w:ascii="Times New Roman" w:hAnsi="Times New Roman"/>
                <w:sz w:val="24"/>
                <w:szCs w:val="24"/>
                <w:lang w:val="en-US"/>
              </w:rPr>
              <w:t xml:space="preserve"> premium paid by the Policyholder to the Insurer under the Insurance </w:t>
            </w:r>
            <w:r w:rsidR="0043291D">
              <w:rPr>
                <w:rFonts w:ascii="Times New Roman" w:hAnsi="Times New Roman"/>
                <w:sz w:val="24"/>
                <w:szCs w:val="24"/>
                <w:lang w:val="en-US"/>
              </w:rPr>
              <w:t>c</w:t>
            </w:r>
            <w:r w:rsidR="004E47A2" w:rsidRPr="002F19E8">
              <w:rPr>
                <w:rFonts w:ascii="Times New Roman" w:hAnsi="Times New Roman"/>
                <w:sz w:val="24"/>
                <w:szCs w:val="24"/>
                <w:lang w:val="en-US"/>
              </w:rPr>
              <w:t>ontract</w:t>
            </w:r>
          </w:p>
        </w:tc>
      </w:tr>
      <w:tr w:rsidR="00796B74" w14:paraId="463C17D0" w14:textId="77777777" w:rsidTr="00DA4696">
        <w:trPr>
          <w:trHeight w:val="368"/>
        </w:trPr>
        <w:tc>
          <w:tcPr>
            <w:tcW w:w="2853" w:type="dxa"/>
          </w:tcPr>
          <w:p w14:paraId="3C574EF1" w14:textId="77777777" w:rsidR="00CE285C" w:rsidRPr="002F19E8" w:rsidRDefault="004E47A2" w:rsidP="00CE285C">
            <w:pPr>
              <w:keepNext/>
              <w:autoSpaceDE w:val="0"/>
              <w:autoSpaceDN w:val="0"/>
              <w:spacing w:after="0" w:line="240" w:lineRule="auto"/>
              <w:contextualSpacing/>
              <w:jc w:val="both"/>
              <w:rPr>
                <w:rFonts w:ascii="Times New Roman" w:hAnsi="Times New Roman"/>
                <w:b/>
                <w:sz w:val="24"/>
                <w:szCs w:val="24"/>
              </w:rPr>
            </w:pPr>
            <w:r w:rsidRPr="002F19E8">
              <w:rPr>
                <w:rFonts w:ascii="Times New Roman" w:hAnsi="Times New Roman"/>
                <w:b/>
                <w:sz w:val="24"/>
                <w:szCs w:val="24"/>
                <w:lang w:val="en-US"/>
              </w:rPr>
              <w:t xml:space="preserve">Policyholder </w:t>
            </w:r>
          </w:p>
        </w:tc>
        <w:tc>
          <w:tcPr>
            <w:tcW w:w="6894" w:type="dxa"/>
          </w:tcPr>
          <w:p w14:paraId="7C7C43A5" w14:textId="120902FF" w:rsidR="00CE285C" w:rsidRPr="002F19E8" w:rsidRDefault="004E47A2" w:rsidP="00CE285C">
            <w:pPr>
              <w:keepNext/>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lang w:val="en-US"/>
              </w:rPr>
              <w:t xml:space="preserve">A legal entity that has either contacted the Insurer for the conclusion of an Insurance </w:t>
            </w:r>
            <w:r w:rsidR="0043291D">
              <w:rPr>
                <w:rFonts w:ascii="Times New Roman" w:hAnsi="Times New Roman"/>
                <w:sz w:val="24"/>
                <w:szCs w:val="24"/>
                <w:lang w:val="en-US"/>
              </w:rPr>
              <w:t>c</w:t>
            </w:r>
            <w:r>
              <w:rPr>
                <w:rFonts w:ascii="Times New Roman" w:hAnsi="Times New Roman"/>
                <w:sz w:val="24"/>
                <w:szCs w:val="24"/>
                <w:lang w:val="en-US"/>
              </w:rPr>
              <w:t xml:space="preserve">ontract, or to </w:t>
            </w:r>
            <w:r w:rsidR="00DB006A">
              <w:rPr>
                <w:rFonts w:ascii="Times New Roman" w:hAnsi="Times New Roman"/>
                <w:sz w:val="24"/>
                <w:szCs w:val="24"/>
                <w:lang w:val="en-US"/>
              </w:rPr>
              <w:t>wh</w:t>
            </w:r>
            <w:r w:rsidR="00B150BE">
              <w:rPr>
                <w:rFonts w:ascii="Times New Roman" w:hAnsi="Times New Roman"/>
                <w:sz w:val="24"/>
                <w:szCs w:val="24"/>
                <w:lang w:val="en-US"/>
              </w:rPr>
              <w:t>ich</w:t>
            </w:r>
            <w:r>
              <w:rPr>
                <w:rFonts w:ascii="Times New Roman" w:hAnsi="Times New Roman"/>
                <w:sz w:val="24"/>
                <w:szCs w:val="24"/>
                <w:lang w:val="en-US"/>
              </w:rPr>
              <w:t xml:space="preserve"> the Insurer has offered to conclude an Insurance </w:t>
            </w:r>
            <w:r w:rsidR="0043291D">
              <w:rPr>
                <w:rFonts w:ascii="Times New Roman" w:hAnsi="Times New Roman"/>
                <w:sz w:val="24"/>
                <w:szCs w:val="24"/>
                <w:lang w:val="en-US"/>
              </w:rPr>
              <w:t>c</w:t>
            </w:r>
            <w:r>
              <w:rPr>
                <w:rFonts w:ascii="Times New Roman" w:hAnsi="Times New Roman"/>
                <w:sz w:val="24"/>
                <w:szCs w:val="24"/>
                <w:lang w:val="en-US"/>
              </w:rPr>
              <w:t xml:space="preserve">ontract, or </w:t>
            </w:r>
            <w:r w:rsidR="00B150BE">
              <w:rPr>
                <w:rFonts w:ascii="Times New Roman" w:hAnsi="Times New Roman"/>
                <w:sz w:val="24"/>
                <w:szCs w:val="24"/>
                <w:lang w:val="en-US"/>
              </w:rPr>
              <w:t>which</w:t>
            </w:r>
            <w:r>
              <w:rPr>
                <w:rFonts w:ascii="Times New Roman" w:hAnsi="Times New Roman"/>
                <w:sz w:val="24"/>
                <w:szCs w:val="24"/>
                <w:lang w:val="en-US"/>
              </w:rPr>
              <w:t xml:space="preserve"> has concluded an Insurance </w:t>
            </w:r>
            <w:r w:rsidR="0043291D">
              <w:rPr>
                <w:rFonts w:ascii="Times New Roman" w:hAnsi="Times New Roman"/>
                <w:sz w:val="24"/>
                <w:szCs w:val="24"/>
                <w:lang w:val="en-US"/>
              </w:rPr>
              <w:t>c</w:t>
            </w:r>
            <w:r>
              <w:rPr>
                <w:rFonts w:ascii="Times New Roman" w:hAnsi="Times New Roman"/>
                <w:sz w:val="24"/>
                <w:szCs w:val="24"/>
                <w:lang w:val="en-US"/>
              </w:rPr>
              <w:t xml:space="preserve">ontract with the Insurer, </w:t>
            </w:r>
            <w:proofErr w:type="spellStart"/>
            <w:r>
              <w:rPr>
                <w:rFonts w:ascii="Times New Roman" w:hAnsi="Times New Roman"/>
                <w:sz w:val="24"/>
                <w:szCs w:val="24"/>
                <w:lang w:val="en-US"/>
              </w:rPr>
              <w:t>i</w:t>
            </w:r>
            <w:proofErr w:type="spellEnd"/>
            <w:r w:rsidR="00917166">
              <w:rPr>
                <w:rFonts w:ascii="Times New Roman" w:hAnsi="Times New Roman"/>
                <w:sz w:val="24"/>
                <w:szCs w:val="24"/>
                <w:lang w:val="en-US"/>
              </w:rPr>
              <w:t xml:space="preserve">. </w:t>
            </w:r>
            <w:r>
              <w:rPr>
                <w:rFonts w:ascii="Times New Roman" w:hAnsi="Times New Roman"/>
                <w:sz w:val="24"/>
                <w:szCs w:val="24"/>
                <w:lang w:val="en-US"/>
              </w:rPr>
              <w:t>e</w:t>
            </w:r>
            <w:r w:rsidR="00917166">
              <w:rPr>
                <w:rFonts w:ascii="Times New Roman" w:hAnsi="Times New Roman"/>
                <w:sz w:val="24"/>
                <w:szCs w:val="24"/>
                <w:lang w:val="en-US"/>
              </w:rPr>
              <w:t>.</w:t>
            </w:r>
            <w:r>
              <w:rPr>
                <w:rFonts w:ascii="Times New Roman" w:hAnsi="Times New Roman"/>
                <w:sz w:val="24"/>
                <w:szCs w:val="24"/>
                <w:lang w:val="en-US"/>
              </w:rPr>
              <w:t xml:space="preserve"> a client of the Insurer</w:t>
            </w:r>
          </w:p>
        </w:tc>
      </w:tr>
      <w:tr w:rsidR="00796B74" w14:paraId="25C55B5F" w14:textId="77777777" w:rsidTr="00DA4696">
        <w:tc>
          <w:tcPr>
            <w:tcW w:w="2853" w:type="dxa"/>
            <w:tcBorders>
              <w:bottom w:val="single" w:sz="4" w:space="0" w:color="000000"/>
            </w:tcBorders>
          </w:tcPr>
          <w:p w14:paraId="0A6A5E9B" w14:textId="0E1DDF9C" w:rsidR="00CE285C" w:rsidRPr="002F19E8" w:rsidRDefault="004E47A2" w:rsidP="00CE285C">
            <w:pPr>
              <w:autoSpaceDE w:val="0"/>
              <w:autoSpaceDN w:val="0"/>
              <w:spacing w:after="0" w:line="240" w:lineRule="auto"/>
              <w:contextualSpacing/>
              <w:rPr>
                <w:rFonts w:ascii="Times New Roman" w:hAnsi="Times New Roman"/>
                <w:b/>
                <w:sz w:val="24"/>
                <w:szCs w:val="24"/>
              </w:rPr>
            </w:pPr>
            <w:r w:rsidRPr="002F19E8">
              <w:rPr>
                <w:rFonts w:ascii="Times New Roman" w:hAnsi="Times New Roman"/>
                <w:b/>
                <w:bCs/>
                <w:sz w:val="24"/>
                <w:szCs w:val="24"/>
                <w:lang w:val="en-US"/>
              </w:rPr>
              <w:t xml:space="preserve">TCIPG </w:t>
            </w:r>
            <w:r w:rsidR="00716893">
              <w:rPr>
                <w:rFonts w:ascii="Times New Roman" w:hAnsi="Times New Roman"/>
                <w:b/>
                <w:bCs/>
                <w:sz w:val="24"/>
                <w:szCs w:val="24"/>
                <w:lang w:val="en-US"/>
              </w:rPr>
              <w:t>i</w:t>
            </w:r>
            <w:r w:rsidR="003F2A4B">
              <w:rPr>
                <w:rFonts w:ascii="Times New Roman" w:hAnsi="Times New Roman"/>
                <w:b/>
                <w:bCs/>
                <w:sz w:val="24"/>
                <w:szCs w:val="24"/>
                <w:lang w:val="en-US"/>
              </w:rPr>
              <w:t>nstrument</w:t>
            </w:r>
            <w:r w:rsidRPr="002F19E8">
              <w:rPr>
                <w:rFonts w:ascii="Times New Roman" w:hAnsi="Times New Roman"/>
                <w:b/>
                <w:bCs/>
                <w:sz w:val="24"/>
                <w:szCs w:val="24"/>
                <w:lang w:val="en-US"/>
              </w:rPr>
              <w:t xml:space="preserve"> </w:t>
            </w:r>
            <w:r w:rsidR="00716893">
              <w:rPr>
                <w:rFonts w:ascii="Times New Roman" w:hAnsi="Times New Roman"/>
                <w:b/>
                <w:bCs/>
                <w:sz w:val="24"/>
                <w:szCs w:val="24"/>
                <w:lang w:val="en-US"/>
              </w:rPr>
              <w:t>m</w:t>
            </w:r>
            <w:r w:rsidRPr="002F19E8">
              <w:rPr>
                <w:rFonts w:ascii="Times New Roman" w:hAnsi="Times New Roman"/>
                <w:b/>
                <w:bCs/>
                <w:sz w:val="24"/>
                <w:szCs w:val="24"/>
                <w:lang w:val="en-US"/>
              </w:rPr>
              <w:t>anager</w:t>
            </w:r>
          </w:p>
        </w:tc>
        <w:tc>
          <w:tcPr>
            <w:tcW w:w="6894" w:type="dxa"/>
            <w:tcBorders>
              <w:bottom w:val="single" w:sz="4" w:space="0" w:color="000000"/>
            </w:tcBorders>
          </w:tcPr>
          <w:p w14:paraId="2DBC2432" w14:textId="5BE69B07" w:rsidR="00CE285C" w:rsidRPr="002F19E8" w:rsidRDefault="004E47A2" w:rsidP="00CE285C">
            <w:pPr>
              <w:autoSpaceDE w:val="0"/>
              <w:autoSpaceDN w:val="0"/>
              <w:spacing w:after="0" w:line="240" w:lineRule="auto"/>
              <w:contextualSpacing/>
              <w:jc w:val="both"/>
              <w:rPr>
                <w:rFonts w:ascii="Times New Roman" w:hAnsi="Times New Roman"/>
                <w:sz w:val="24"/>
                <w:szCs w:val="24"/>
              </w:rPr>
            </w:pPr>
            <w:r w:rsidRPr="002F19E8">
              <w:rPr>
                <w:rFonts w:ascii="Times New Roman" w:hAnsi="Times New Roman"/>
                <w:sz w:val="24"/>
                <w:szCs w:val="24"/>
                <w:lang w:val="en-US"/>
              </w:rPr>
              <w:t>An Insurer with wh</w:t>
            </w:r>
            <w:r w:rsidR="00B150BE">
              <w:rPr>
                <w:rFonts w:ascii="Times New Roman" w:hAnsi="Times New Roman"/>
                <w:sz w:val="24"/>
                <w:szCs w:val="24"/>
                <w:lang w:val="en-US"/>
              </w:rPr>
              <w:t>ich</w:t>
            </w:r>
            <w:r w:rsidRPr="002F19E8">
              <w:rPr>
                <w:rFonts w:ascii="Times New Roman" w:hAnsi="Times New Roman"/>
                <w:sz w:val="24"/>
                <w:szCs w:val="24"/>
                <w:lang w:val="en-US"/>
              </w:rPr>
              <w:t xml:space="preserve"> the Contract has been signed. </w:t>
            </w:r>
            <w:bookmarkStart w:id="8" w:name="_Hlk38717997"/>
            <w:r w:rsidRPr="002F19E8">
              <w:rPr>
                <w:rFonts w:ascii="Times New Roman" w:hAnsi="Times New Roman"/>
                <w:sz w:val="24"/>
                <w:szCs w:val="24"/>
                <w:lang w:val="en-US"/>
              </w:rPr>
              <w:t xml:space="preserve">The TCIPG </w:t>
            </w:r>
            <w:r w:rsidR="003F2A4B">
              <w:rPr>
                <w:rFonts w:ascii="Times New Roman" w:hAnsi="Times New Roman"/>
                <w:sz w:val="24"/>
                <w:szCs w:val="24"/>
                <w:lang w:val="en-US"/>
              </w:rPr>
              <w:t>instrument</w:t>
            </w:r>
            <w:r w:rsidRPr="002F19E8">
              <w:rPr>
                <w:rFonts w:ascii="Times New Roman" w:hAnsi="Times New Roman"/>
                <w:sz w:val="24"/>
                <w:szCs w:val="24"/>
                <w:lang w:val="en-US"/>
              </w:rPr>
              <w:t xml:space="preserve"> </w:t>
            </w:r>
            <w:r w:rsidR="00DB006A">
              <w:rPr>
                <w:rFonts w:ascii="Times New Roman" w:hAnsi="Times New Roman"/>
                <w:sz w:val="24"/>
                <w:szCs w:val="24"/>
                <w:lang w:val="en-US"/>
              </w:rPr>
              <w:t>m</w:t>
            </w:r>
            <w:r w:rsidRPr="002F19E8">
              <w:rPr>
                <w:rFonts w:ascii="Times New Roman" w:hAnsi="Times New Roman"/>
                <w:sz w:val="24"/>
                <w:szCs w:val="24"/>
                <w:lang w:val="en-US"/>
              </w:rPr>
              <w:t xml:space="preserve">anager may implement the TCIPG </w:t>
            </w:r>
            <w:r w:rsidR="003F2A4B">
              <w:rPr>
                <w:rFonts w:ascii="Times New Roman" w:hAnsi="Times New Roman"/>
                <w:sz w:val="24"/>
                <w:szCs w:val="24"/>
                <w:lang w:val="en-US"/>
              </w:rPr>
              <w:t>instrument</w:t>
            </w:r>
            <w:r w:rsidRPr="002F19E8">
              <w:rPr>
                <w:rFonts w:ascii="Times New Roman" w:hAnsi="Times New Roman"/>
                <w:sz w:val="24"/>
                <w:szCs w:val="24"/>
                <w:lang w:val="en-US"/>
              </w:rPr>
              <w:t xml:space="preserve"> through insurance brokers,</w:t>
            </w:r>
            <w:r w:rsidR="0043291D">
              <w:rPr>
                <w:rFonts w:ascii="Times New Roman" w:hAnsi="Times New Roman"/>
                <w:sz w:val="24"/>
                <w:szCs w:val="24"/>
                <w:lang w:val="en-US"/>
              </w:rPr>
              <w:t xml:space="preserve"> </w:t>
            </w:r>
            <w:proofErr w:type="gramStart"/>
            <w:r w:rsidRPr="002F19E8">
              <w:rPr>
                <w:rFonts w:ascii="Times New Roman" w:hAnsi="Times New Roman"/>
                <w:sz w:val="24"/>
                <w:szCs w:val="24"/>
                <w:lang w:val="en-US"/>
              </w:rPr>
              <w:t xml:space="preserve">but in any case </w:t>
            </w:r>
            <w:proofErr w:type="gramEnd"/>
            <w:r w:rsidRPr="002F19E8">
              <w:rPr>
                <w:rFonts w:ascii="Times New Roman" w:hAnsi="Times New Roman"/>
                <w:sz w:val="24"/>
                <w:szCs w:val="24"/>
                <w:lang w:val="en-US"/>
              </w:rPr>
              <w:t xml:space="preserve">the TCIPG </w:t>
            </w:r>
            <w:r w:rsidR="003F2A4B">
              <w:rPr>
                <w:rFonts w:ascii="Times New Roman" w:hAnsi="Times New Roman"/>
                <w:sz w:val="24"/>
                <w:szCs w:val="24"/>
                <w:lang w:val="en-US"/>
              </w:rPr>
              <w:t>instrument</w:t>
            </w:r>
            <w:r w:rsidRPr="002F19E8">
              <w:rPr>
                <w:rFonts w:ascii="Times New Roman" w:hAnsi="Times New Roman"/>
                <w:sz w:val="24"/>
                <w:szCs w:val="24"/>
                <w:lang w:val="en-US"/>
              </w:rPr>
              <w:t xml:space="preserve"> </w:t>
            </w:r>
            <w:r w:rsidR="00DB006A">
              <w:rPr>
                <w:rFonts w:ascii="Times New Roman" w:hAnsi="Times New Roman"/>
                <w:sz w:val="24"/>
                <w:szCs w:val="24"/>
                <w:lang w:val="en-US"/>
              </w:rPr>
              <w:t>m</w:t>
            </w:r>
            <w:r w:rsidRPr="002F19E8">
              <w:rPr>
                <w:rFonts w:ascii="Times New Roman" w:hAnsi="Times New Roman"/>
                <w:sz w:val="24"/>
                <w:szCs w:val="24"/>
                <w:lang w:val="en-US"/>
              </w:rPr>
              <w:t xml:space="preserve">anager is responsible for the proper implementation of the </w:t>
            </w:r>
            <w:r w:rsidR="003F2A4B">
              <w:rPr>
                <w:rFonts w:ascii="Times New Roman" w:hAnsi="Times New Roman"/>
                <w:sz w:val="24"/>
                <w:szCs w:val="24"/>
                <w:lang w:val="en-US"/>
              </w:rPr>
              <w:t>instrument</w:t>
            </w:r>
            <w:r w:rsidRPr="002F19E8">
              <w:rPr>
                <w:rFonts w:ascii="Times New Roman" w:hAnsi="Times New Roman"/>
                <w:sz w:val="24"/>
                <w:szCs w:val="24"/>
                <w:lang w:val="en-US"/>
              </w:rPr>
              <w:t xml:space="preserve"> under the Contract</w:t>
            </w:r>
            <w:bookmarkEnd w:id="8"/>
          </w:p>
        </w:tc>
      </w:tr>
      <w:tr w:rsidR="00796B74" w14:paraId="040E929C" w14:textId="77777777" w:rsidTr="00DA4696">
        <w:trPr>
          <w:trHeight w:val="704"/>
        </w:trPr>
        <w:tc>
          <w:tcPr>
            <w:tcW w:w="2853" w:type="dxa"/>
          </w:tcPr>
          <w:p w14:paraId="1F4F10BF" w14:textId="77777777" w:rsidR="00CE285C" w:rsidRPr="002F19E8" w:rsidRDefault="004E47A2" w:rsidP="00CE285C">
            <w:pPr>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lang w:val="en-US"/>
              </w:rPr>
              <w:t>Evaluation of the Policyholder's buyer</w:t>
            </w:r>
          </w:p>
        </w:tc>
        <w:tc>
          <w:tcPr>
            <w:tcW w:w="6894" w:type="dxa"/>
          </w:tcPr>
          <w:p w14:paraId="374242EF" w14:textId="77777777" w:rsidR="00CE285C" w:rsidRPr="002F19E8" w:rsidRDefault="004E47A2" w:rsidP="00CE285C">
            <w:pPr>
              <w:autoSpaceDE w:val="0"/>
              <w:autoSpaceDN w:val="0"/>
              <w:spacing w:after="0" w:line="240" w:lineRule="auto"/>
              <w:contextualSpacing/>
              <w:jc w:val="both"/>
              <w:rPr>
                <w:rFonts w:ascii="Times New Roman" w:hAnsi="Times New Roman"/>
                <w:sz w:val="24"/>
                <w:szCs w:val="24"/>
              </w:rPr>
            </w:pPr>
            <w:r w:rsidRPr="002F19E8">
              <w:rPr>
                <w:rFonts w:ascii="Times New Roman" w:hAnsi="Times New Roman"/>
                <w:sz w:val="24"/>
                <w:szCs w:val="24"/>
                <w:lang w:val="en-US"/>
              </w:rPr>
              <w:t>The evaluation of a buyer to be carried out by the Insurer in line with its internal rules and procedures</w:t>
            </w:r>
          </w:p>
        </w:tc>
      </w:tr>
      <w:tr w:rsidR="00796B74" w14:paraId="30B4785C" w14:textId="77777777" w:rsidTr="005F3B4E">
        <w:trPr>
          <w:trHeight w:val="919"/>
        </w:trPr>
        <w:tc>
          <w:tcPr>
            <w:tcW w:w="2853" w:type="dxa"/>
          </w:tcPr>
          <w:p w14:paraId="3E1B1E99" w14:textId="77777777" w:rsidR="00CE285C" w:rsidRPr="002F19E8" w:rsidRDefault="004E47A2" w:rsidP="00CE285C">
            <w:pPr>
              <w:autoSpaceDE w:val="0"/>
              <w:autoSpaceDN w:val="0"/>
              <w:spacing w:after="0" w:line="240" w:lineRule="auto"/>
              <w:contextualSpacing/>
              <w:rPr>
                <w:rFonts w:ascii="Times New Roman" w:hAnsi="Times New Roman"/>
                <w:b/>
                <w:sz w:val="24"/>
                <w:szCs w:val="24"/>
              </w:rPr>
            </w:pPr>
            <w:r w:rsidRPr="002F19E8">
              <w:rPr>
                <w:rFonts w:ascii="Times New Roman" w:hAnsi="Times New Roman"/>
                <w:b/>
                <w:sz w:val="24"/>
                <w:szCs w:val="24"/>
                <w:lang w:val="en-US"/>
              </w:rPr>
              <w:t>Entry into force of the Guarantee</w:t>
            </w:r>
          </w:p>
        </w:tc>
        <w:tc>
          <w:tcPr>
            <w:tcW w:w="6894" w:type="dxa"/>
          </w:tcPr>
          <w:p w14:paraId="3171A8B4" w14:textId="7DE2E6CE" w:rsidR="00CE285C" w:rsidRPr="002F19E8" w:rsidRDefault="004E47A2" w:rsidP="00CE285C">
            <w:pPr>
              <w:autoSpaceDE w:val="0"/>
              <w:autoSpaceDN w:val="0"/>
              <w:adjustRightInd w:val="0"/>
              <w:spacing w:after="0" w:line="240" w:lineRule="auto"/>
              <w:jc w:val="both"/>
              <w:rPr>
                <w:rFonts w:ascii="Times New Roman" w:hAnsi="Times New Roman"/>
                <w:bCs/>
                <w:sz w:val="24"/>
                <w:szCs w:val="24"/>
              </w:rPr>
            </w:pPr>
            <w:r w:rsidRPr="002F19E8">
              <w:rPr>
                <w:rFonts w:ascii="Times New Roman" w:hAnsi="Times New Roman"/>
                <w:bCs/>
                <w:sz w:val="24"/>
                <w:szCs w:val="24"/>
                <w:lang w:val="en-US"/>
              </w:rPr>
              <w:t xml:space="preserve">The Guarantee shall enter into force for the Insurance </w:t>
            </w:r>
            <w:r w:rsidR="0043291D">
              <w:rPr>
                <w:rFonts w:ascii="Times New Roman" w:hAnsi="Times New Roman"/>
                <w:bCs/>
                <w:sz w:val="24"/>
                <w:szCs w:val="24"/>
                <w:lang w:val="en-US"/>
              </w:rPr>
              <w:t>p</w:t>
            </w:r>
            <w:r w:rsidRPr="002F19E8">
              <w:rPr>
                <w:rFonts w:ascii="Times New Roman" w:hAnsi="Times New Roman"/>
                <w:bCs/>
                <w:sz w:val="24"/>
                <w:szCs w:val="24"/>
                <w:lang w:val="en-US"/>
              </w:rPr>
              <w:t xml:space="preserve">ortfolio formed by the Insurer, which includes Insurance </w:t>
            </w:r>
            <w:r w:rsidR="0043291D">
              <w:rPr>
                <w:rFonts w:ascii="Times New Roman" w:hAnsi="Times New Roman"/>
                <w:bCs/>
                <w:sz w:val="24"/>
                <w:szCs w:val="24"/>
                <w:lang w:val="en-US"/>
              </w:rPr>
              <w:t>c</w:t>
            </w:r>
            <w:r w:rsidRPr="002F19E8">
              <w:rPr>
                <w:rFonts w:ascii="Times New Roman" w:hAnsi="Times New Roman"/>
                <w:bCs/>
                <w:sz w:val="24"/>
                <w:szCs w:val="24"/>
                <w:lang w:val="en-US"/>
              </w:rPr>
              <w:t>ontracts, if the following conditions are met:</w:t>
            </w:r>
          </w:p>
          <w:p w14:paraId="7061C20D" w14:textId="633C8C56" w:rsidR="00FF5EB3" w:rsidRDefault="005F3B4E" w:rsidP="001E10C3">
            <w:pPr>
              <w:numPr>
                <w:ilvl w:val="0"/>
                <w:numId w:val="17"/>
              </w:numPr>
              <w:autoSpaceDE w:val="0"/>
              <w:autoSpaceDN w:val="0"/>
              <w:adjustRightInd w:val="0"/>
              <w:spacing w:after="0" w:line="240" w:lineRule="auto"/>
              <w:jc w:val="both"/>
              <w:rPr>
                <w:rFonts w:ascii="Times New Roman" w:hAnsi="Times New Roman"/>
                <w:bCs/>
                <w:sz w:val="24"/>
                <w:szCs w:val="24"/>
              </w:rPr>
            </w:pPr>
            <w:r w:rsidRPr="000A3701">
              <w:rPr>
                <w:rFonts w:ascii="Times New Roman" w:hAnsi="Times New Roman"/>
                <w:bCs/>
                <w:sz w:val="24"/>
                <w:szCs w:val="24"/>
                <w:lang w:val="en-US"/>
              </w:rPr>
              <w:t>according to the granted trade credit limits</w:t>
            </w:r>
            <w:r>
              <w:rPr>
                <w:rFonts w:ascii="Times New Roman" w:hAnsi="Times New Roman"/>
                <w:bCs/>
                <w:sz w:val="24"/>
                <w:szCs w:val="24"/>
                <w:lang w:val="en-US"/>
              </w:rPr>
              <w:t xml:space="preserve"> </w:t>
            </w:r>
            <w:r w:rsidR="004E47A2">
              <w:rPr>
                <w:rFonts w:ascii="Times New Roman" w:hAnsi="Times New Roman"/>
                <w:bCs/>
                <w:sz w:val="24"/>
                <w:szCs w:val="24"/>
                <w:lang w:val="en-US"/>
              </w:rPr>
              <w:t>the goods were delivered to Lithuanian buyers not earlier than on 1 January 2020 and no later than 31 December 2020,</w:t>
            </w:r>
          </w:p>
          <w:p w14:paraId="715E638E" w14:textId="5A6E48FE" w:rsidR="005C3446" w:rsidRDefault="005F3B4E" w:rsidP="001E10C3">
            <w:pPr>
              <w:numPr>
                <w:ilvl w:val="0"/>
                <w:numId w:val="17"/>
              </w:numPr>
              <w:autoSpaceDE w:val="0"/>
              <w:autoSpaceDN w:val="0"/>
              <w:adjustRightInd w:val="0"/>
              <w:spacing w:after="0" w:line="240" w:lineRule="auto"/>
              <w:jc w:val="both"/>
              <w:rPr>
                <w:rFonts w:ascii="Times New Roman" w:hAnsi="Times New Roman"/>
                <w:bCs/>
                <w:sz w:val="24"/>
                <w:szCs w:val="24"/>
              </w:rPr>
            </w:pPr>
            <w:r w:rsidRPr="000A3701">
              <w:rPr>
                <w:rFonts w:ascii="Times New Roman" w:hAnsi="Times New Roman"/>
                <w:bCs/>
                <w:sz w:val="24"/>
                <w:szCs w:val="24"/>
                <w:lang w:val="en-US"/>
              </w:rPr>
              <w:t>according to the granted trade credit limits</w:t>
            </w:r>
            <w:r>
              <w:rPr>
                <w:rFonts w:ascii="Times New Roman" w:hAnsi="Times New Roman"/>
                <w:bCs/>
                <w:sz w:val="24"/>
                <w:szCs w:val="24"/>
                <w:lang w:val="en-US"/>
              </w:rPr>
              <w:t xml:space="preserve"> </w:t>
            </w:r>
            <w:r w:rsidR="004E47A2">
              <w:rPr>
                <w:rFonts w:ascii="Times New Roman" w:hAnsi="Times New Roman"/>
                <w:bCs/>
                <w:sz w:val="24"/>
                <w:szCs w:val="24"/>
                <w:lang w:val="en-US"/>
              </w:rPr>
              <w:t>goods were shipped to foreign buyers no earlier than on 1 January 2020 and no later than 31 December 2020,</w:t>
            </w:r>
          </w:p>
          <w:p w14:paraId="4D1E4216" w14:textId="32D9285E" w:rsidR="005C3446" w:rsidRPr="002F19E8" w:rsidRDefault="005F3B4E" w:rsidP="001E10C3">
            <w:pPr>
              <w:numPr>
                <w:ilvl w:val="0"/>
                <w:numId w:val="17"/>
              </w:numPr>
              <w:autoSpaceDE w:val="0"/>
              <w:autoSpaceDN w:val="0"/>
              <w:adjustRightInd w:val="0"/>
              <w:spacing w:after="0" w:line="240" w:lineRule="auto"/>
              <w:jc w:val="both"/>
              <w:rPr>
                <w:rFonts w:ascii="Times New Roman" w:hAnsi="Times New Roman"/>
                <w:bCs/>
                <w:sz w:val="24"/>
                <w:szCs w:val="24"/>
              </w:rPr>
            </w:pPr>
            <w:r w:rsidRPr="000A3701">
              <w:rPr>
                <w:rFonts w:ascii="Times New Roman" w:hAnsi="Times New Roman"/>
                <w:bCs/>
                <w:sz w:val="24"/>
                <w:szCs w:val="24"/>
                <w:lang w:val="en-US"/>
              </w:rPr>
              <w:t>according to the granted trade credit limits</w:t>
            </w:r>
            <w:r>
              <w:rPr>
                <w:rFonts w:ascii="Times New Roman" w:hAnsi="Times New Roman"/>
                <w:bCs/>
                <w:sz w:val="24"/>
                <w:szCs w:val="24"/>
                <w:lang w:val="en-US"/>
              </w:rPr>
              <w:t xml:space="preserve"> </w:t>
            </w:r>
            <w:r w:rsidR="004E47A2">
              <w:rPr>
                <w:rFonts w:ascii="Times New Roman" w:hAnsi="Times New Roman"/>
                <w:bCs/>
                <w:sz w:val="24"/>
                <w:szCs w:val="24"/>
                <w:lang w:val="en-US"/>
              </w:rPr>
              <w:t>service delivery started no earlier than on 1 January 2020 and no later than 31 December 2020,</w:t>
            </w:r>
          </w:p>
          <w:p w14:paraId="1CDA1771" w14:textId="204F6CD0" w:rsidR="00CE285C" w:rsidRPr="002F19E8" w:rsidRDefault="004E47A2" w:rsidP="001E10C3">
            <w:pPr>
              <w:numPr>
                <w:ilvl w:val="0"/>
                <w:numId w:val="17"/>
              </w:numPr>
              <w:autoSpaceDE w:val="0"/>
              <w:autoSpaceDN w:val="0"/>
              <w:adjustRightInd w:val="0"/>
              <w:spacing w:after="0" w:line="240" w:lineRule="auto"/>
              <w:jc w:val="both"/>
              <w:rPr>
                <w:rFonts w:ascii="Times New Roman" w:hAnsi="Times New Roman"/>
                <w:bCs/>
                <w:sz w:val="24"/>
                <w:szCs w:val="24"/>
              </w:rPr>
            </w:pPr>
            <w:r w:rsidRPr="002F19E8">
              <w:rPr>
                <w:rFonts w:ascii="Times New Roman" w:hAnsi="Times New Roman"/>
                <w:bCs/>
                <w:sz w:val="24"/>
                <w:szCs w:val="24"/>
                <w:lang w:val="en-US"/>
              </w:rPr>
              <w:t xml:space="preserve">The Insurance </w:t>
            </w:r>
            <w:r w:rsidR="0043291D">
              <w:rPr>
                <w:rFonts w:ascii="Times New Roman" w:hAnsi="Times New Roman"/>
                <w:bCs/>
                <w:sz w:val="24"/>
                <w:szCs w:val="24"/>
                <w:lang w:val="en-US"/>
              </w:rPr>
              <w:t>c</w:t>
            </w:r>
            <w:r w:rsidRPr="002F19E8">
              <w:rPr>
                <w:rFonts w:ascii="Times New Roman" w:hAnsi="Times New Roman"/>
                <w:bCs/>
                <w:sz w:val="24"/>
                <w:szCs w:val="24"/>
                <w:lang w:val="en-US"/>
              </w:rPr>
              <w:t xml:space="preserve">ontract is included in the Insurance </w:t>
            </w:r>
            <w:r w:rsidR="0043291D">
              <w:rPr>
                <w:rFonts w:ascii="Times New Roman" w:hAnsi="Times New Roman"/>
                <w:bCs/>
                <w:sz w:val="24"/>
                <w:szCs w:val="24"/>
                <w:lang w:val="en-US"/>
              </w:rPr>
              <w:t>p</w:t>
            </w:r>
            <w:r w:rsidRPr="002F19E8">
              <w:rPr>
                <w:rFonts w:ascii="Times New Roman" w:hAnsi="Times New Roman"/>
                <w:bCs/>
                <w:sz w:val="24"/>
                <w:szCs w:val="24"/>
                <w:lang w:val="en-US"/>
              </w:rPr>
              <w:t xml:space="preserve">ortfolio </w:t>
            </w:r>
            <w:r w:rsidR="0043291D">
              <w:rPr>
                <w:rFonts w:ascii="Times New Roman" w:hAnsi="Times New Roman"/>
                <w:bCs/>
                <w:sz w:val="24"/>
                <w:szCs w:val="24"/>
                <w:lang w:val="en-US"/>
              </w:rPr>
              <w:t>r</w:t>
            </w:r>
            <w:r w:rsidRPr="002F19E8">
              <w:rPr>
                <w:rFonts w:ascii="Times New Roman" w:hAnsi="Times New Roman"/>
                <w:bCs/>
                <w:sz w:val="24"/>
                <w:szCs w:val="24"/>
                <w:lang w:val="en-US"/>
              </w:rPr>
              <w:t>eport for the reporting period,</w:t>
            </w:r>
          </w:p>
          <w:p w14:paraId="75C20E88" w14:textId="15943940" w:rsidR="00CE285C" w:rsidRPr="002F19E8" w:rsidRDefault="004E47A2" w:rsidP="001E10C3">
            <w:pPr>
              <w:numPr>
                <w:ilvl w:val="0"/>
                <w:numId w:val="17"/>
              </w:num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lang w:val="en-US"/>
              </w:rPr>
              <w:lastRenderedPageBreak/>
              <w:t xml:space="preserve">The insurance premium was paid by the Policyholder to the Insurer in accordance with the procedure and within the deadline established in the Insurance </w:t>
            </w:r>
            <w:r w:rsidR="0043291D">
              <w:rPr>
                <w:rFonts w:ascii="Times New Roman" w:hAnsi="Times New Roman"/>
                <w:bCs/>
                <w:sz w:val="24"/>
                <w:szCs w:val="24"/>
                <w:lang w:val="en-US"/>
              </w:rPr>
              <w:t>c</w:t>
            </w:r>
            <w:r>
              <w:rPr>
                <w:rFonts w:ascii="Times New Roman" w:hAnsi="Times New Roman"/>
                <w:bCs/>
                <w:sz w:val="24"/>
                <w:szCs w:val="24"/>
                <w:lang w:val="en-US"/>
              </w:rPr>
              <w:t>ontract</w:t>
            </w:r>
          </w:p>
        </w:tc>
      </w:tr>
      <w:tr w:rsidR="00796B74" w14:paraId="3BFAFD91" w14:textId="77777777" w:rsidTr="00DA4696">
        <w:trPr>
          <w:trHeight w:val="561"/>
        </w:trPr>
        <w:tc>
          <w:tcPr>
            <w:tcW w:w="2853" w:type="dxa"/>
          </w:tcPr>
          <w:p w14:paraId="167A2C21" w14:textId="31871A69" w:rsidR="00CE285C" w:rsidRPr="002F19E8" w:rsidRDefault="004E47A2" w:rsidP="00CE285C">
            <w:pPr>
              <w:rPr>
                <w:rFonts w:ascii="Times New Roman" w:hAnsi="Times New Roman"/>
                <w:b/>
                <w:sz w:val="24"/>
                <w:szCs w:val="24"/>
              </w:rPr>
            </w:pPr>
            <w:r w:rsidRPr="002F19E8">
              <w:rPr>
                <w:rFonts w:ascii="Times New Roman" w:hAnsi="Times New Roman"/>
                <w:b/>
                <w:sz w:val="24"/>
                <w:szCs w:val="24"/>
                <w:lang w:val="en-US"/>
              </w:rPr>
              <w:lastRenderedPageBreak/>
              <w:t xml:space="preserve">Guaranteed </w:t>
            </w:r>
            <w:r w:rsidR="0043291D">
              <w:rPr>
                <w:rFonts w:ascii="Times New Roman" w:hAnsi="Times New Roman"/>
                <w:b/>
                <w:sz w:val="24"/>
                <w:szCs w:val="24"/>
                <w:lang w:val="en-US"/>
              </w:rPr>
              <w:t>i</w:t>
            </w:r>
            <w:r w:rsidRPr="002F19E8">
              <w:rPr>
                <w:rFonts w:ascii="Times New Roman" w:hAnsi="Times New Roman"/>
                <w:b/>
                <w:sz w:val="24"/>
                <w:szCs w:val="24"/>
                <w:lang w:val="en-US"/>
              </w:rPr>
              <w:t xml:space="preserve">nsurance </w:t>
            </w:r>
            <w:r w:rsidR="0043291D">
              <w:rPr>
                <w:rFonts w:ascii="Times New Roman" w:hAnsi="Times New Roman"/>
                <w:b/>
                <w:sz w:val="24"/>
                <w:szCs w:val="24"/>
                <w:lang w:val="en-US"/>
              </w:rPr>
              <w:t>p</w:t>
            </w:r>
            <w:r w:rsidRPr="002F19E8">
              <w:rPr>
                <w:rFonts w:ascii="Times New Roman" w:hAnsi="Times New Roman"/>
                <w:b/>
                <w:sz w:val="24"/>
                <w:szCs w:val="24"/>
                <w:lang w:val="en-US"/>
              </w:rPr>
              <w:t xml:space="preserve">ortfolio </w:t>
            </w:r>
          </w:p>
        </w:tc>
        <w:tc>
          <w:tcPr>
            <w:tcW w:w="6894" w:type="dxa"/>
          </w:tcPr>
          <w:p w14:paraId="67FBA522" w14:textId="6B52722F" w:rsidR="00CE285C" w:rsidRPr="002F19E8" w:rsidRDefault="004E47A2" w:rsidP="00471552">
            <w:pPr>
              <w:spacing w:after="0" w:line="240" w:lineRule="auto"/>
              <w:jc w:val="both"/>
              <w:rPr>
                <w:rFonts w:ascii="Times New Roman" w:hAnsi="Times New Roman"/>
                <w:bCs/>
                <w:sz w:val="24"/>
                <w:szCs w:val="24"/>
              </w:rPr>
            </w:pPr>
            <w:r w:rsidRPr="002F19E8">
              <w:rPr>
                <w:rFonts w:ascii="Times New Roman" w:hAnsi="Times New Roman"/>
                <w:sz w:val="24"/>
                <w:szCs w:val="24"/>
                <w:lang w:val="en-US"/>
              </w:rPr>
              <w:t xml:space="preserve">The Insurance </w:t>
            </w:r>
            <w:r w:rsidR="0043291D">
              <w:rPr>
                <w:rFonts w:ascii="Times New Roman" w:hAnsi="Times New Roman"/>
                <w:sz w:val="24"/>
                <w:szCs w:val="24"/>
                <w:lang w:val="en-US"/>
              </w:rPr>
              <w:t>p</w:t>
            </w:r>
            <w:r w:rsidRPr="002F19E8">
              <w:rPr>
                <w:rFonts w:ascii="Times New Roman" w:hAnsi="Times New Roman"/>
                <w:sz w:val="24"/>
                <w:szCs w:val="24"/>
                <w:lang w:val="en-US"/>
              </w:rPr>
              <w:t xml:space="preserve">ortfolio formed by the TCIPG </w:t>
            </w:r>
            <w:r w:rsidR="003F2A4B">
              <w:rPr>
                <w:rFonts w:ascii="Times New Roman" w:hAnsi="Times New Roman"/>
                <w:sz w:val="24"/>
                <w:szCs w:val="24"/>
                <w:lang w:val="en-US"/>
              </w:rPr>
              <w:t>instrument</w:t>
            </w:r>
            <w:r w:rsidRPr="002F19E8">
              <w:rPr>
                <w:rFonts w:ascii="Times New Roman" w:hAnsi="Times New Roman"/>
                <w:sz w:val="24"/>
                <w:szCs w:val="24"/>
                <w:lang w:val="en-US"/>
              </w:rPr>
              <w:t xml:space="preserve"> </w:t>
            </w:r>
            <w:r w:rsidR="00B150BE">
              <w:rPr>
                <w:rFonts w:ascii="Times New Roman" w:hAnsi="Times New Roman"/>
                <w:sz w:val="24"/>
                <w:szCs w:val="24"/>
                <w:lang w:val="en-US"/>
              </w:rPr>
              <w:t>m</w:t>
            </w:r>
            <w:r w:rsidRPr="002F19E8">
              <w:rPr>
                <w:rFonts w:ascii="Times New Roman" w:hAnsi="Times New Roman"/>
                <w:sz w:val="24"/>
                <w:szCs w:val="24"/>
                <w:lang w:val="en-US"/>
              </w:rPr>
              <w:t xml:space="preserve">anager, to </w:t>
            </w:r>
            <w:r w:rsidR="00B150BE">
              <w:rPr>
                <w:rFonts w:ascii="Times New Roman" w:hAnsi="Times New Roman"/>
                <w:sz w:val="24"/>
                <w:szCs w:val="24"/>
                <w:lang w:val="en-US"/>
              </w:rPr>
              <w:t>which</w:t>
            </w:r>
            <w:r w:rsidRPr="002F19E8">
              <w:rPr>
                <w:rFonts w:ascii="Times New Roman" w:hAnsi="Times New Roman"/>
                <w:sz w:val="24"/>
                <w:szCs w:val="24"/>
                <w:lang w:val="en-US"/>
              </w:rPr>
              <w:t xml:space="preserve"> the Insurance </w:t>
            </w:r>
            <w:r w:rsidR="0043291D">
              <w:rPr>
                <w:rFonts w:ascii="Times New Roman" w:hAnsi="Times New Roman"/>
                <w:sz w:val="24"/>
                <w:szCs w:val="24"/>
                <w:lang w:val="en-US"/>
              </w:rPr>
              <w:t>p</w:t>
            </w:r>
            <w:r w:rsidRPr="002F19E8">
              <w:rPr>
                <w:rFonts w:ascii="Times New Roman" w:hAnsi="Times New Roman"/>
                <w:sz w:val="24"/>
                <w:szCs w:val="24"/>
                <w:lang w:val="en-US"/>
              </w:rPr>
              <w:t xml:space="preserve">ortfolio </w:t>
            </w:r>
            <w:r w:rsidR="0043291D">
              <w:rPr>
                <w:rFonts w:ascii="Times New Roman" w:hAnsi="Times New Roman"/>
                <w:sz w:val="24"/>
                <w:szCs w:val="24"/>
                <w:lang w:val="en-US"/>
              </w:rPr>
              <w:t>g</w:t>
            </w:r>
            <w:r w:rsidRPr="002F19E8">
              <w:rPr>
                <w:rFonts w:ascii="Times New Roman" w:hAnsi="Times New Roman"/>
                <w:sz w:val="24"/>
                <w:szCs w:val="24"/>
                <w:lang w:val="en-US"/>
              </w:rPr>
              <w:t xml:space="preserve">uarantee is given </w:t>
            </w:r>
          </w:p>
        </w:tc>
      </w:tr>
      <w:tr w:rsidR="00796B74" w14:paraId="6EE45F18" w14:textId="77777777" w:rsidTr="00DA4696">
        <w:tc>
          <w:tcPr>
            <w:tcW w:w="2853" w:type="dxa"/>
            <w:tcBorders>
              <w:bottom w:val="single" w:sz="4" w:space="0" w:color="000000"/>
            </w:tcBorders>
          </w:tcPr>
          <w:p w14:paraId="26DE72F4" w14:textId="3B52E4CE" w:rsidR="00CE285C" w:rsidRPr="00CE285C" w:rsidRDefault="004E47A2" w:rsidP="001C575D">
            <w:pPr>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lang w:val="en-US"/>
              </w:rPr>
              <w:t xml:space="preserve">Insurance </w:t>
            </w:r>
            <w:r w:rsidR="003D2BF0">
              <w:rPr>
                <w:rFonts w:ascii="Times New Roman" w:hAnsi="Times New Roman"/>
                <w:b/>
                <w:sz w:val="24"/>
                <w:szCs w:val="24"/>
                <w:lang w:val="en-US"/>
              </w:rPr>
              <w:t>p</w:t>
            </w:r>
            <w:r>
              <w:rPr>
                <w:rFonts w:ascii="Times New Roman" w:hAnsi="Times New Roman"/>
                <w:b/>
                <w:sz w:val="24"/>
                <w:szCs w:val="24"/>
                <w:lang w:val="en-US"/>
              </w:rPr>
              <w:t>ortfolio Guarantee</w:t>
            </w:r>
          </w:p>
        </w:tc>
        <w:tc>
          <w:tcPr>
            <w:tcW w:w="6894" w:type="dxa"/>
            <w:tcBorders>
              <w:bottom w:val="single" w:sz="4" w:space="0" w:color="000000"/>
            </w:tcBorders>
          </w:tcPr>
          <w:p w14:paraId="3EECB4DC" w14:textId="000A5E26" w:rsidR="00CE285C" w:rsidRDefault="00B150BE" w:rsidP="00CE285C">
            <w:pPr>
              <w:keepNext/>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lang w:val="en-US"/>
              </w:rPr>
              <w:t>T</w:t>
            </w:r>
            <w:r w:rsidR="004E47A2" w:rsidRPr="002F19E8">
              <w:rPr>
                <w:rFonts w:ascii="Times New Roman" w:hAnsi="Times New Roman"/>
                <w:sz w:val="24"/>
                <w:szCs w:val="24"/>
                <w:lang w:val="en-US"/>
              </w:rPr>
              <w:t>he obligation to cover the Insurer against the loss incur</w:t>
            </w:r>
            <w:r>
              <w:rPr>
                <w:rFonts w:ascii="Times New Roman" w:hAnsi="Times New Roman"/>
                <w:sz w:val="24"/>
                <w:szCs w:val="24"/>
                <w:lang w:val="en-US"/>
              </w:rPr>
              <w:t>r</w:t>
            </w:r>
            <w:r w:rsidR="004E47A2" w:rsidRPr="002F19E8">
              <w:rPr>
                <w:rFonts w:ascii="Times New Roman" w:hAnsi="Times New Roman"/>
                <w:sz w:val="24"/>
                <w:szCs w:val="24"/>
                <w:lang w:val="en-US"/>
              </w:rPr>
              <w:t xml:space="preserve">ed because of the Insurance </w:t>
            </w:r>
            <w:r w:rsidR="0043291D">
              <w:rPr>
                <w:rFonts w:ascii="Times New Roman" w:hAnsi="Times New Roman"/>
                <w:sz w:val="24"/>
                <w:szCs w:val="24"/>
                <w:lang w:val="en-US"/>
              </w:rPr>
              <w:t>c</w:t>
            </w:r>
            <w:r w:rsidR="004E47A2" w:rsidRPr="002F19E8">
              <w:rPr>
                <w:rFonts w:ascii="Times New Roman" w:hAnsi="Times New Roman"/>
                <w:sz w:val="24"/>
                <w:szCs w:val="24"/>
                <w:lang w:val="en-US"/>
              </w:rPr>
              <w:t xml:space="preserve">ontract included in the Insurance </w:t>
            </w:r>
            <w:r w:rsidR="0043291D">
              <w:rPr>
                <w:rFonts w:ascii="Times New Roman" w:hAnsi="Times New Roman"/>
                <w:sz w:val="24"/>
                <w:szCs w:val="24"/>
                <w:lang w:val="en-US"/>
              </w:rPr>
              <w:t>p</w:t>
            </w:r>
            <w:r w:rsidR="004E47A2" w:rsidRPr="002F19E8">
              <w:rPr>
                <w:rFonts w:ascii="Times New Roman" w:hAnsi="Times New Roman"/>
                <w:sz w:val="24"/>
                <w:szCs w:val="24"/>
                <w:lang w:val="en-US"/>
              </w:rPr>
              <w:t>ortfolio.</w:t>
            </w:r>
          </w:p>
          <w:p w14:paraId="19E33AEF" w14:textId="77777777" w:rsidR="004309A3" w:rsidRPr="002F19E8" w:rsidRDefault="004309A3" w:rsidP="00CE285C">
            <w:pPr>
              <w:keepNext/>
              <w:autoSpaceDE w:val="0"/>
              <w:autoSpaceDN w:val="0"/>
              <w:spacing w:after="0" w:line="240" w:lineRule="auto"/>
              <w:contextualSpacing/>
              <w:jc w:val="both"/>
              <w:rPr>
                <w:rFonts w:ascii="Times New Roman" w:hAnsi="Times New Roman"/>
                <w:sz w:val="24"/>
                <w:szCs w:val="24"/>
              </w:rPr>
            </w:pPr>
          </w:p>
          <w:p w14:paraId="3D58A297" w14:textId="631581D0" w:rsidR="00CE285C" w:rsidRPr="002F19E8" w:rsidRDefault="004E47A2" w:rsidP="00CE285C">
            <w:pPr>
              <w:keepNext/>
              <w:autoSpaceDE w:val="0"/>
              <w:autoSpaceDN w:val="0"/>
              <w:spacing w:after="0" w:line="240" w:lineRule="auto"/>
              <w:contextualSpacing/>
              <w:jc w:val="both"/>
              <w:rPr>
                <w:rFonts w:ascii="Times New Roman" w:hAnsi="Times New Roman"/>
                <w:sz w:val="24"/>
                <w:szCs w:val="24"/>
              </w:rPr>
            </w:pPr>
            <w:r w:rsidRPr="002F19E8">
              <w:rPr>
                <w:rFonts w:ascii="Times New Roman" w:hAnsi="Times New Roman"/>
                <w:sz w:val="24"/>
                <w:szCs w:val="24"/>
                <w:lang w:val="en-US"/>
              </w:rPr>
              <w:t xml:space="preserve">Each Insurance </w:t>
            </w:r>
            <w:r w:rsidR="0043291D">
              <w:rPr>
                <w:rFonts w:ascii="Times New Roman" w:hAnsi="Times New Roman"/>
                <w:sz w:val="24"/>
                <w:szCs w:val="24"/>
                <w:lang w:val="en-US"/>
              </w:rPr>
              <w:t>c</w:t>
            </w:r>
            <w:r w:rsidRPr="002F19E8">
              <w:rPr>
                <w:rFonts w:ascii="Times New Roman" w:hAnsi="Times New Roman"/>
                <w:sz w:val="24"/>
                <w:szCs w:val="24"/>
                <w:lang w:val="en-US"/>
              </w:rPr>
              <w:t xml:space="preserve">ontract included in the Insurance </w:t>
            </w:r>
            <w:r w:rsidR="0043291D">
              <w:rPr>
                <w:rFonts w:ascii="Times New Roman" w:hAnsi="Times New Roman"/>
                <w:sz w:val="24"/>
                <w:szCs w:val="24"/>
                <w:lang w:val="en-US"/>
              </w:rPr>
              <w:t>p</w:t>
            </w:r>
            <w:r w:rsidRPr="002F19E8">
              <w:rPr>
                <w:rFonts w:ascii="Times New Roman" w:hAnsi="Times New Roman"/>
                <w:sz w:val="24"/>
                <w:szCs w:val="24"/>
                <w:lang w:val="en-US"/>
              </w:rPr>
              <w:t xml:space="preserve">ortfolio is guaranteed by 90% of the loss in stage 1, but the total coverage volume may not exceed the </w:t>
            </w:r>
            <w:r w:rsidR="00B150BE">
              <w:rPr>
                <w:rFonts w:ascii="Times New Roman" w:hAnsi="Times New Roman"/>
                <w:sz w:val="24"/>
                <w:szCs w:val="24"/>
                <w:lang w:val="en-US"/>
              </w:rPr>
              <w:t>m</w:t>
            </w:r>
            <w:r w:rsidRPr="002F19E8">
              <w:rPr>
                <w:rFonts w:ascii="Times New Roman" w:hAnsi="Times New Roman"/>
                <w:sz w:val="24"/>
                <w:szCs w:val="24"/>
                <w:lang w:val="en-US"/>
              </w:rPr>
              <w:t xml:space="preserve">aximum </w:t>
            </w:r>
            <w:r w:rsidR="00B150BE">
              <w:rPr>
                <w:rFonts w:ascii="Times New Roman" w:hAnsi="Times New Roman"/>
                <w:sz w:val="24"/>
                <w:szCs w:val="24"/>
                <w:lang w:val="en-US"/>
              </w:rPr>
              <w:t>c</w:t>
            </w:r>
            <w:r w:rsidRPr="002F19E8">
              <w:rPr>
                <w:rFonts w:ascii="Times New Roman" w:hAnsi="Times New Roman"/>
                <w:sz w:val="24"/>
                <w:szCs w:val="24"/>
                <w:lang w:val="en-US"/>
              </w:rPr>
              <w:t xml:space="preserve">overage </w:t>
            </w:r>
            <w:r w:rsidR="00B150BE">
              <w:rPr>
                <w:rFonts w:ascii="Times New Roman" w:hAnsi="Times New Roman"/>
                <w:sz w:val="24"/>
                <w:szCs w:val="24"/>
                <w:lang w:val="en-US"/>
              </w:rPr>
              <w:t>v</w:t>
            </w:r>
            <w:r w:rsidRPr="002F19E8">
              <w:rPr>
                <w:rFonts w:ascii="Times New Roman" w:hAnsi="Times New Roman"/>
                <w:sz w:val="24"/>
                <w:szCs w:val="24"/>
                <w:lang w:val="en-US"/>
              </w:rPr>
              <w:t xml:space="preserve">olume up to the first loss threshold. </w:t>
            </w:r>
          </w:p>
          <w:p w14:paraId="0C624470" w14:textId="77777777" w:rsidR="00217514" w:rsidRDefault="00217514" w:rsidP="00CE285C">
            <w:pPr>
              <w:keepNext/>
              <w:autoSpaceDE w:val="0"/>
              <w:autoSpaceDN w:val="0"/>
              <w:spacing w:after="0" w:line="240" w:lineRule="auto"/>
              <w:contextualSpacing/>
              <w:jc w:val="both"/>
              <w:rPr>
                <w:rFonts w:ascii="Times New Roman" w:hAnsi="Times New Roman"/>
                <w:sz w:val="24"/>
                <w:szCs w:val="24"/>
              </w:rPr>
            </w:pPr>
          </w:p>
          <w:p w14:paraId="30E83E67" w14:textId="48274D70" w:rsidR="00217514" w:rsidRDefault="004E47A2" w:rsidP="00CE285C">
            <w:pPr>
              <w:keepNext/>
              <w:autoSpaceDE w:val="0"/>
              <w:autoSpaceDN w:val="0"/>
              <w:spacing w:after="0" w:line="240" w:lineRule="auto"/>
              <w:contextualSpacing/>
              <w:jc w:val="both"/>
              <w:rPr>
                <w:rFonts w:ascii="Times New Roman" w:hAnsi="Times New Roman"/>
                <w:sz w:val="24"/>
                <w:szCs w:val="24"/>
                <w:lang w:val="en-US"/>
              </w:rPr>
            </w:pPr>
            <w:r>
              <w:rPr>
                <w:rFonts w:ascii="Times New Roman" w:hAnsi="Times New Roman"/>
                <w:sz w:val="24"/>
                <w:szCs w:val="24"/>
                <w:lang w:val="en-US"/>
              </w:rPr>
              <w:t xml:space="preserve">If the </w:t>
            </w:r>
            <w:r w:rsidR="00B150BE">
              <w:rPr>
                <w:rFonts w:ascii="Times New Roman" w:hAnsi="Times New Roman"/>
                <w:sz w:val="24"/>
                <w:szCs w:val="24"/>
                <w:lang w:val="en-US"/>
              </w:rPr>
              <w:t>m</w:t>
            </w:r>
            <w:r>
              <w:rPr>
                <w:rFonts w:ascii="Times New Roman" w:hAnsi="Times New Roman"/>
                <w:sz w:val="24"/>
                <w:szCs w:val="24"/>
                <w:lang w:val="en-US"/>
              </w:rPr>
              <w:t xml:space="preserve">aximum </w:t>
            </w:r>
            <w:r w:rsidR="00B150BE">
              <w:rPr>
                <w:rFonts w:ascii="Times New Roman" w:hAnsi="Times New Roman"/>
                <w:sz w:val="24"/>
                <w:szCs w:val="24"/>
                <w:lang w:val="en-US"/>
              </w:rPr>
              <w:t>l</w:t>
            </w:r>
            <w:r>
              <w:rPr>
                <w:rFonts w:ascii="Times New Roman" w:hAnsi="Times New Roman"/>
                <w:sz w:val="24"/>
                <w:szCs w:val="24"/>
                <w:lang w:val="en-US"/>
              </w:rPr>
              <w:t xml:space="preserve">oss </w:t>
            </w:r>
            <w:r w:rsidR="00B150BE">
              <w:rPr>
                <w:rFonts w:ascii="Times New Roman" w:hAnsi="Times New Roman"/>
                <w:sz w:val="24"/>
                <w:szCs w:val="24"/>
                <w:lang w:val="en-US"/>
              </w:rPr>
              <w:t>c</w:t>
            </w:r>
            <w:r>
              <w:rPr>
                <w:rFonts w:ascii="Times New Roman" w:hAnsi="Times New Roman"/>
                <w:sz w:val="24"/>
                <w:szCs w:val="24"/>
                <w:lang w:val="en-US"/>
              </w:rPr>
              <w:t xml:space="preserve">overage </w:t>
            </w:r>
            <w:r w:rsidR="00B150BE">
              <w:rPr>
                <w:rFonts w:ascii="Times New Roman" w:hAnsi="Times New Roman"/>
                <w:sz w:val="24"/>
                <w:szCs w:val="24"/>
                <w:lang w:val="en-US"/>
              </w:rPr>
              <w:t>v</w:t>
            </w:r>
            <w:r>
              <w:rPr>
                <w:rFonts w:ascii="Times New Roman" w:hAnsi="Times New Roman"/>
                <w:sz w:val="24"/>
                <w:szCs w:val="24"/>
                <w:lang w:val="en-US"/>
              </w:rPr>
              <w:t xml:space="preserve">olume up to the first loss threshold is exceeded, each Insurance </w:t>
            </w:r>
            <w:r w:rsidR="0043291D">
              <w:rPr>
                <w:rFonts w:ascii="Times New Roman" w:hAnsi="Times New Roman"/>
                <w:sz w:val="24"/>
                <w:szCs w:val="24"/>
                <w:lang w:val="en-US"/>
              </w:rPr>
              <w:t>c</w:t>
            </w:r>
            <w:r>
              <w:rPr>
                <w:rFonts w:ascii="Times New Roman" w:hAnsi="Times New Roman"/>
                <w:sz w:val="24"/>
                <w:szCs w:val="24"/>
                <w:lang w:val="en-US"/>
              </w:rPr>
              <w:t xml:space="preserve">ontract included in the Insurance </w:t>
            </w:r>
            <w:r w:rsidR="0043291D">
              <w:rPr>
                <w:rFonts w:ascii="Times New Roman" w:hAnsi="Times New Roman"/>
                <w:sz w:val="24"/>
                <w:szCs w:val="24"/>
                <w:lang w:val="en-US"/>
              </w:rPr>
              <w:t>p</w:t>
            </w:r>
            <w:r>
              <w:rPr>
                <w:rFonts w:ascii="Times New Roman" w:hAnsi="Times New Roman"/>
                <w:sz w:val="24"/>
                <w:szCs w:val="24"/>
                <w:lang w:val="en-US"/>
              </w:rPr>
              <w:t xml:space="preserve">ortfolio is guaranteed by 100% of the loss in stage 2, but the total coverage volume may not exceed the </w:t>
            </w:r>
            <w:r w:rsidR="00B150BE">
              <w:rPr>
                <w:rFonts w:ascii="Times New Roman" w:hAnsi="Times New Roman"/>
                <w:sz w:val="24"/>
                <w:szCs w:val="24"/>
                <w:lang w:val="en-US"/>
              </w:rPr>
              <w:t>m</w:t>
            </w:r>
            <w:r>
              <w:rPr>
                <w:rFonts w:ascii="Times New Roman" w:hAnsi="Times New Roman"/>
                <w:sz w:val="24"/>
                <w:szCs w:val="24"/>
                <w:lang w:val="en-US"/>
              </w:rPr>
              <w:t xml:space="preserve">aximum </w:t>
            </w:r>
            <w:r w:rsidR="00B150BE">
              <w:rPr>
                <w:rFonts w:ascii="Times New Roman" w:hAnsi="Times New Roman"/>
                <w:sz w:val="24"/>
                <w:szCs w:val="24"/>
                <w:lang w:val="en-US"/>
              </w:rPr>
              <w:t>c</w:t>
            </w:r>
            <w:r>
              <w:rPr>
                <w:rFonts w:ascii="Times New Roman" w:hAnsi="Times New Roman"/>
                <w:sz w:val="24"/>
                <w:szCs w:val="24"/>
                <w:lang w:val="en-US"/>
              </w:rPr>
              <w:t xml:space="preserve">overage </w:t>
            </w:r>
            <w:r w:rsidR="00B150BE">
              <w:rPr>
                <w:rFonts w:ascii="Times New Roman" w:hAnsi="Times New Roman"/>
                <w:sz w:val="24"/>
                <w:szCs w:val="24"/>
                <w:lang w:val="en-US"/>
              </w:rPr>
              <w:t>v</w:t>
            </w:r>
            <w:r>
              <w:rPr>
                <w:rFonts w:ascii="Times New Roman" w:hAnsi="Times New Roman"/>
                <w:sz w:val="24"/>
                <w:szCs w:val="24"/>
                <w:lang w:val="en-US"/>
              </w:rPr>
              <w:t xml:space="preserve">olume up to the second loss threshold. </w:t>
            </w:r>
          </w:p>
          <w:p w14:paraId="38F4FBBB" w14:textId="77777777" w:rsidR="006E50F2" w:rsidRDefault="006E50F2" w:rsidP="00CE285C">
            <w:pPr>
              <w:keepNext/>
              <w:autoSpaceDE w:val="0"/>
              <w:autoSpaceDN w:val="0"/>
              <w:spacing w:after="0" w:line="240" w:lineRule="auto"/>
              <w:contextualSpacing/>
              <w:jc w:val="both"/>
              <w:rPr>
                <w:rFonts w:ascii="Times New Roman" w:hAnsi="Times New Roman"/>
                <w:sz w:val="24"/>
                <w:szCs w:val="24"/>
              </w:rPr>
            </w:pPr>
          </w:p>
          <w:p w14:paraId="58AEB45B" w14:textId="33578FA4" w:rsidR="00CE285C" w:rsidRPr="002F19E8" w:rsidRDefault="004E47A2" w:rsidP="00CE285C">
            <w:pPr>
              <w:keepNext/>
              <w:autoSpaceDE w:val="0"/>
              <w:autoSpaceDN w:val="0"/>
              <w:spacing w:after="0" w:line="240" w:lineRule="auto"/>
              <w:contextualSpacing/>
              <w:jc w:val="both"/>
              <w:rPr>
                <w:rFonts w:ascii="Times New Roman" w:hAnsi="Times New Roman"/>
                <w:sz w:val="24"/>
                <w:szCs w:val="24"/>
              </w:rPr>
            </w:pPr>
            <w:r w:rsidRPr="002F19E8">
              <w:rPr>
                <w:rFonts w:ascii="Times New Roman" w:hAnsi="Times New Roman"/>
                <w:sz w:val="24"/>
                <w:szCs w:val="24"/>
                <w:lang w:val="en-US"/>
              </w:rPr>
              <w:t xml:space="preserve">Fees and other costs not paid by the Policyholder to the </w:t>
            </w:r>
            <w:r w:rsidR="006E50F2">
              <w:rPr>
                <w:rFonts w:ascii="Times New Roman" w:hAnsi="Times New Roman"/>
                <w:sz w:val="24"/>
                <w:szCs w:val="24"/>
                <w:lang w:val="en-US"/>
              </w:rPr>
              <w:t>m</w:t>
            </w:r>
            <w:r w:rsidRPr="002F19E8">
              <w:rPr>
                <w:rFonts w:ascii="Times New Roman" w:hAnsi="Times New Roman"/>
                <w:sz w:val="24"/>
                <w:szCs w:val="24"/>
                <w:lang w:val="en-US"/>
              </w:rPr>
              <w:t xml:space="preserve">anager of the TCIPG </w:t>
            </w:r>
            <w:r w:rsidR="003F2A4B">
              <w:rPr>
                <w:rFonts w:ascii="Times New Roman" w:hAnsi="Times New Roman"/>
                <w:sz w:val="24"/>
                <w:szCs w:val="24"/>
                <w:lang w:val="en-US"/>
              </w:rPr>
              <w:t>instrument</w:t>
            </w:r>
            <w:r w:rsidRPr="002F19E8">
              <w:rPr>
                <w:rFonts w:ascii="Times New Roman" w:hAnsi="Times New Roman"/>
                <w:sz w:val="24"/>
                <w:szCs w:val="24"/>
                <w:lang w:val="en-US"/>
              </w:rPr>
              <w:t xml:space="preserve"> shall not be reimbursed.</w:t>
            </w:r>
          </w:p>
          <w:p w14:paraId="4149F714" w14:textId="77777777" w:rsidR="00B453BB" w:rsidRPr="002F19E8" w:rsidRDefault="00B453BB" w:rsidP="00CE285C">
            <w:pPr>
              <w:keepNext/>
              <w:autoSpaceDE w:val="0"/>
              <w:autoSpaceDN w:val="0"/>
              <w:spacing w:after="0" w:line="240" w:lineRule="auto"/>
              <w:contextualSpacing/>
              <w:jc w:val="both"/>
              <w:rPr>
                <w:rFonts w:ascii="Times New Roman" w:hAnsi="Times New Roman"/>
                <w:sz w:val="24"/>
                <w:szCs w:val="24"/>
              </w:rPr>
            </w:pPr>
          </w:p>
          <w:p w14:paraId="4D9882F2" w14:textId="5F1E5415" w:rsidR="00CE285C" w:rsidRPr="002F19E8" w:rsidRDefault="004E47A2" w:rsidP="00CE285C">
            <w:pPr>
              <w:keepNext/>
              <w:autoSpaceDE w:val="0"/>
              <w:autoSpaceDN w:val="0"/>
              <w:spacing w:after="0" w:line="240" w:lineRule="auto"/>
              <w:contextualSpacing/>
              <w:jc w:val="both"/>
              <w:rPr>
                <w:rFonts w:ascii="Times New Roman" w:hAnsi="Times New Roman"/>
                <w:sz w:val="24"/>
                <w:szCs w:val="24"/>
              </w:rPr>
            </w:pPr>
            <w:r w:rsidRPr="002F19E8">
              <w:rPr>
                <w:rFonts w:ascii="Times New Roman" w:hAnsi="Times New Roman"/>
                <w:sz w:val="24"/>
                <w:szCs w:val="24"/>
                <w:lang w:val="en-US"/>
              </w:rPr>
              <w:t xml:space="preserve">The manager of the TCIPG </w:t>
            </w:r>
            <w:r w:rsidR="003F2A4B">
              <w:rPr>
                <w:rFonts w:ascii="Times New Roman" w:hAnsi="Times New Roman"/>
                <w:sz w:val="24"/>
                <w:szCs w:val="24"/>
                <w:lang w:val="en-US"/>
              </w:rPr>
              <w:t>instrument</w:t>
            </w:r>
            <w:r w:rsidRPr="002F19E8">
              <w:rPr>
                <w:rFonts w:ascii="Times New Roman" w:hAnsi="Times New Roman"/>
                <w:sz w:val="24"/>
                <w:szCs w:val="24"/>
                <w:lang w:val="en-US"/>
              </w:rPr>
              <w:t xml:space="preserve"> shall be obliged to recover the debt from the debtor under the Insurance </w:t>
            </w:r>
            <w:r w:rsidR="0043291D">
              <w:rPr>
                <w:rFonts w:ascii="Times New Roman" w:hAnsi="Times New Roman"/>
                <w:sz w:val="24"/>
                <w:szCs w:val="24"/>
                <w:lang w:val="en-US"/>
              </w:rPr>
              <w:t>c</w:t>
            </w:r>
            <w:r w:rsidRPr="002F19E8">
              <w:rPr>
                <w:rFonts w:ascii="Times New Roman" w:hAnsi="Times New Roman"/>
                <w:sz w:val="24"/>
                <w:szCs w:val="24"/>
                <w:lang w:val="en-US"/>
              </w:rPr>
              <w:t xml:space="preserve">ontract for which the benefit has been paid (see "Supervision of the Insurance </w:t>
            </w:r>
            <w:r w:rsidR="0043291D">
              <w:rPr>
                <w:rFonts w:ascii="Times New Roman" w:hAnsi="Times New Roman"/>
                <w:sz w:val="24"/>
                <w:szCs w:val="24"/>
                <w:lang w:val="en-US"/>
              </w:rPr>
              <w:t>p</w:t>
            </w:r>
            <w:r w:rsidRPr="002F19E8">
              <w:rPr>
                <w:rFonts w:ascii="Times New Roman" w:hAnsi="Times New Roman"/>
                <w:sz w:val="24"/>
                <w:szCs w:val="24"/>
                <w:lang w:val="en-US"/>
              </w:rPr>
              <w:t xml:space="preserve">ortfolio and </w:t>
            </w:r>
            <w:r w:rsidR="0043291D">
              <w:rPr>
                <w:rFonts w:ascii="Times New Roman" w:hAnsi="Times New Roman"/>
                <w:sz w:val="24"/>
                <w:szCs w:val="24"/>
                <w:lang w:val="en-US"/>
              </w:rPr>
              <w:t>d</w:t>
            </w:r>
            <w:r w:rsidRPr="002F19E8">
              <w:rPr>
                <w:rFonts w:ascii="Times New Roman" w:hAnsi="Times New Roman"/>
                <w:sz w:val="24"/>
                <w:szCs w:val="24"/>
                <w:lang w:val="en-US"/>
              </w:rPr>
              <w:t xml:space="preserve">ebt </w:t>
            </w:r>
            <w:r w:rsidR="0043291D">
              <w:rPr>
                <w:rFonts w:ascii="Times New Roman" w:hAnsi="Times New Roman"/>
                <w:sz w:val="24"/>
                <w:szCs w:val="24"/>
                <w:lang w:val="en-US"/>
              </w:rPr>
              <w:t>r</w:t>
            </w:r>
            <w:r w:rsidRPr="002F19E8">
              <w:rPr>
                <w:rFonts w:ascii="Times New Roman" w:hAnsi="Times New Roman"/>
                <w:sz w:val="24"/>
                <w:szCs w:val="24"/>
                <w:lang w:val="en-US"/>
              </w:rPr>
              <w:t>ecovery")</w:t>
            </w:r>
          </w:p>
        </w:tc>
      </w:tr>
      <w:tr w:rsidR="00796B74" w14:paraId="087B6E3F" w14:textId="77777777" w:rsidTr="00DA4696">
        <w:tc>
          <w:tcPr>
            <w:tcW w:w="2853" w:type="dxa"/>
            <w:tcBorders>
              <w:bottom w:val="single" w:sz="4" w:space="0" w:color="000000"/>
            </w:tcBorders>
          </w:tcPr>
          <w:p w14:paraId="4A210C1C" w14:textId="77777777" w:rsidR="00CE285C" w:rsidRPr="002F19E8" w:rsidRDefault="004E47A2" w:rsidP="00CE285C">
            <w:pPr>
              <w:autoSpaceDE w:val="0"/>
              <w:autoSpaceDN w:val="0"/>
              <w:spacing w:after="0" w:line="240" w:lineRule="auto"/>
              <w:contextualSpacing/>
              <w:jc w:val="both"/>
              <w:rPr>
                <w:rFonts w:ascii="Times New Roman" w:hAnsi="Times New Roman"/>
                <w:b/>
                <w:bCs/>
                <w:sz w:val="24"/>
                <w:szCs w:val="24"/>
              </w:rPr>
            </w:pPr>
            <w:r w:rsidRPr="002F19E8">
              <w:rPr>
                <w:rFonts w:ascii="Times New Roman" w:hAnsi="Times New Roman"/>
                <w:b/>
                <w:bCs/>
                <w:sz w:val="24"/>
                <w:szCs w:val="24"/>
                <w:lang w:val="en-US"/>
              </w:rPr>
              <w:t>Maximum loss coverage volume up to the first loss threshold</w:t>
            </w:r>
          </w:p>
        </w:tc>
        <w:tc>
          <w:tcPr>
            <w:tcW w:w="6894" w:type="dxa"/>
            <w:tcBorders>
              <w:bottom w:val="single" w:sz="4" w:space="0" w:color="000000"/>
            </w:tcBorders>
          </w:tcPr>
          <w:p w14:paraId="70DA79B1" w14:textId="10BFD4BC" w:rsidR="00CE65B4" w:rsidRPr="00CE285C" w:rsidRDefault="004E47A2" w:rsidP="00323C3B">
            <w:pPr>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lang w:val="en-US"/>
              </w:rPr>
              <w:t xml:space="preserve">The maximum loss coverage volume that Invega, as the INVEGA </w:t>
            </w:r>
            <w:r w:rsidR="001C575D">
              <w:rPr>
                <w:rFonts w:ascii="Times New Roman" w:hAnsi="Times New Roman"/>
                <w:sz w:val="24"/>
                <w:szCs w:val="24"/>
                <w:lang w:val="en-US"/>
              </w:rPr>
              <w:t>f</w:t>
            </w:r>
            <w:r w:rsidRPr="00CE285C">
              <w:rPr>
                <w:rFonts w:ascii="Times New Roman" w:hAnsi="Times New Roman"/>
                <w:sz w:val="24"/>
                <w:szCs w:val="24"/>
                <w:lang w:val="en-US"/>
              </w:rPr>
              <w:t xml:space="preserve">und manager, can pay to the manager of the TCIPG </w:t>
            </w:r>
            <w:r w:rsidR="003F2A4B">
              <w:rPr>
                <w:rFonts w:ascii="Times New Roman" w:hAnsi="Times New Roman"/>
                <w:sz w:val="24"/>
                <w:szCs w:val="24"/>
                <w:lang w:val="en-US"/>
              </w:rPr>
              <w:t>instrument</w:t>
            </w:r>
            <w:r w:rsidRPr="00CE285C">
              <w:rPr>
                <w:rFonts w:ascii="Times New Roman" w:hAnsi="Times New Roman"/>
                <w:sz w:val="24"/>
                <w:szCs w:val="24"/>
                <w:lang w:val="en-US"/>
              </w:rPr>
              <w:t xml:space="preserve">, </w:t>
            </w:r>
            <w:proofErr w:type="spellStart"/>
            <w:r w:rsidRPr="00CE285C">
              <w:rPr>
                <w:rFonts w:ascii="Times New Roman" w:hAnsi="Times New Roman"/>
                <w:sz w:val="24"/>
                <w:szCs w:val="24"/>
                <w:lang w:val="en-US"/>
              </w:rPr>
              <w:t>i</w:t>
            </w:r>
            <w:proofErr w:type="spellEnd"/>
            <w:r w:rsidR="00EF0186">
              <w:rPr>
                <w:rFonts w:ascii="Times New Roman" w:hAnsi="Times New Roman"/>
                <w:sz w:val="24"/>
                <w:szCs w:val="24"/>
                <w:lang w:val="en-US"/>
              </w:rPr>
              <w:t xml:space="preserve">. </w:t>
            </w:r>
            <w:r w:rsidR="006E50F2">
              <w:rPr>
                <w:rFonts w:ascii="Times New Roman" w:hAnsi="Times New Roman"/>
                <w:sz w:val="24"/>
                <w:szCs w:val="24"/>
                <w:lang w:val="en-US"/>
              </w:rPr>
              <w:t>e</w:t>
            </w:r>
            <w:r w:rsidR="00EF0186">
              <w:rPr>
                <w:rFonts w:ascii="Times New Roman" w:hAnsi="Times New Roman"/>
                <w:sz w:val="24"/>
                <w:szCs w:val="24"/>
                <w:lang w:val="en-US"/>
              </w:rPr>
              <w:t>.</w:t>
            </w:r>
            <w:r w:rsidRPr="00CE285C">
              <w:rPr>
                <w:rFonts w:ascii="Times New Roman" w:hAnsi="Times New Roman"/>
                <w:sz w:val="24"/>
                <w:szCs w:val="24"/>
                <w:lang w:val="en-US"/>
              </w:rPr>
              <w:t xml:space="preserve"> 90 (ninety) % from the guaranteed amount of the Insurance </w:t>
            </w:r>
            <w:r w:rsidR="0043291D">
              <w:rPr>
                <w:rFonts w:ascii="Times New Roman" w:hAnsi="Times New Roman"/>
                <w:sz w:val="24"/>
                <w:szCs w:val="24"/>
                <w:lang w:val="en-US"/>
              </w:rPr>
              <w:t>p</w:t>
            </w:r>
            <w:r w:rsidRPr="00CE285C">
              <w:rPr>
                <w:rFonts w:ascii="Times New Roman" w:hAnsi="Times New Roman"/>
                <w:sz w:val="24"/>
                <w:szCs w:val="24"/>
                <w:lang w:val="en-US"/>
              </w:rPr>
              <w:t>ortfolio. T</w:t>
            </w:r>
            <w:r w:rsidR="006E50F2">
              <w:rPr>
                <w:rFonts w:ascii="Times New Roman" w:hAnsi="Times New Roman"/>
                <w:sz w:val="24"/>
                <w:szCs w:val="24"/>
                <w:lang w:val="en-US"/>
              </w:rPr>
              <w:t>he t</w:t>
            </w:r>
            <w:r w:rsidRPr="00CE285C">
              <w:rPr>
                <w:rFonts w:ascii="Times New Roman" w:hAnsi="Times New Roman"/>
                <w:sz w:val="24"/>
                <w:szCs w:val="24"/>
                <w:lang w:val="en-US"/>
              </w:rPr>
              <w:t>otal</w:t>
            </w:r>
            <w:r w:rsidR="006E50F2">
              <w:rPr>
                <w:rFonts w:ascii="Times New Roman" w:hAnsi="Times New Roman"/>
                <w:sz w:val="24"/>
                <w:szCs w:val="24"/>
                <w:lang w:val="en-US"/>
              </w:rPr>
              <w:t xml:space="preserve"> </w:t>
            </w:r>
            <w:r w:rsidR="0074262F" w:rsidRPr="0074262F">
              <w:rPr>
                <w:rFonts w:ascii="Times New Roman" w:eastAsia="MS PGothic" w:hAnsi="Times New Roman"/>
                <w:color w:val="000000"/>
                <w:kern w:val="24"/>
                <w:sz w:val="24"/>
                <w:szCs w:val="24"/>
                <w:lang w:val="en-US" w:eastAsia="lt-LT"/>
              </w:rPr>
              <w:t>m</w:t>
            </w:r>
            <w:r w:rsidRPr="00CE285C">
              <w:rPr>
                <w:rFonts w:ascii="Times New Roman" w:hAnsi="Times New Roman"/>
                <w:sz w:val="24"/>
                <w:szCs w:val="24"/>
                <w:lang w:val="en-US"/>
              </w:rPr>
              <w:t xml:space="preserve">aximum </w:t>
            </w:r>
            <w:r w:rsidR="00211670" w:rsidRPr="00CE285C">
              <w:rPr>
                <w:rFonts w:ascii="Times New Roman" w:hAnsi="Times New Roman"/>
                <w:sz w:val="24"/>
                <w:szCs w:val="24"/>
                <w:lang w:val="en-US"/>
              </w:rPr>
              <w:t>INVEGA</w:t>
            </w:r>
            <w:r w:rsidR="00211670" w:rsidRPr="00CE285C">
              <w:rPr>
                <w:rFonts w:ascii="Times New Roman" w:hAnsi="Times New Roman"/>
                <w:sz w:val="24"/>
                <w:szCs w:val="24"/>
                <w:lang w:val="en-US"/>
              </w:rPr>
              <w:t xml:space="preserve"> </w:t>
            </w:r>
            <w:r w:rsidRPr="00CE285C">
              <w:rPr>
                <w:rFonts w:ascii="Times New Roman" w:hAnsi="Times New Roman"/>
                <w:sz w:val="24"/>
                <w:szCs w:val="24"/>
                <w:lang w:val="en-US"/>
              </w:rPr>
              <w:t xml:space="preserve">loss coverage volume up to the first loss threshold is </w:t>
            </w:r>
            <w:r w:rsidR="0074262F" w:rsidRPr="0074262F">
              <w:rPr>
                <w:rFonts w:ascii="Times New Roman" w:eastAsia="MS PGothic" w:hAnsi="Times New Roman"/>
                <w:color w:val="000000"/>
                <w:kern w:val="24"/>
                <w:sz w:val="24"/>
                <w:szCs w:val="24"/>
                <w:lang w:val="en-US" w:eastAsia="lt-LT"/>
              </w:rPr>
              <w:t xml:space="preserve">EUR </w:t>
            </w:r>
            <w:r w:rsidR="00211670">
              <w:rPr>
                <w:rFonts w:ascii="Times New Roman" w:eastAsia="MS PGothic" w:hAnsi="Times New Roman"/>
                <w:color w:val="000000"/>
                <w:kern w:val="24"/>
                <w:sz w:val="24"/>
                <w:szCs w:val="24"/>
                <w:lang w:val="en-US" w:eastAsia="lt-LT"/>
              </w:rPr>
              <w:t>90</w:t>
            </w:r>
            <w:r w:rsidR="0074262F" w:rsidRPr="0074262F">
              <w:rPr>
                <w:rFonts w:ascii="Times New Roman" w:eastAsia="MS PGothic" w:hAnsi="Times New Roman"/>
                <w:color w:val="000000"/>
                <w:kern w:val="24"/>
                <w:sz w:val="24"/>
                <w:szCs w:val="24"/>
                <w:lang w:val="en-US" w:eastAsia="lt-LT"/>
              </w:rPr>
              <w:t xml:space="preserve"> million</w:t>
            </w:r>
          </w:p>
        </w:tc>
      </w:tr>
      <w:tr w:rsidR="00796B74" w14:paraId="652FCD03" w14:textId="77777777" w:rsidTr="00DA4696">
        <w:tc>
          <w:tcPr>
            <w:tcW w:w="2853" w:type="dxa"/>
            <w:tcBorders>
              <w:bottom w:val="single" w:sz="4" w:space="0" w:color="000000"/>
            </w:tcBorders>
          </w:tcPr>
          <w:p w14:paraId="02410C94" w14:textId="77777777" w:rsidR="00CE285C" w:rsidRPr="002F19E8" w:rsidRDefault="004E47A2" w:rsidP="00CE285C">
            <w:pPr>
              <w:autoSpaceDE w:val="0"/>
              <w:autoSpaceDN w:val="0"/>
              <w:spacing w:after="0" w:line="240" w:lineRule="auto"/>
              <w:contextualSpacing/>
              <w:jc w:val="both"/>
              <w:rPr>
                <w:rFonts w:ascii="Times New Roman" w:hAnsi="Times New Roman"/>
                <w:b/>
                <w:sz w:val="24"/>
                <w:szCs w:val="24"/>
              </w:rPr>
            </w:pPr>
            <w:r w:rsidRPr="002F19E8">
              <w:rPr>
                <w:rFonts w:ascii="Times New Roman" w:hAnsi="Times New Roman"/>
                <w:b/>
                <w:sz w:val="24"/>
                <w:szCs w:val="24"/>
                <w:lang w:val="en-US"/>
              </w:rPr>
              <w:t>Maximum loss coverage volume up to the second loss threshold</w:t>
            </w:r>
          </w:p>
        </w:tc>
        <w:tc>
          <w:tcPr>
            <w:tcW w:w="6894" w:type="dxa"/>
            <w:tcBorders>
              <w:bottom w:val="single" w:sz="4" w:space="0" w:color="000000"/>
            </w:tcBorders>
          </w:tcPr>
          <w:p w14:paraId="148C4B42" w14:textId="4207A856" w:rsidR="00CE285C" w:rsidRPr="00CE285C" w:rsidRDefault="004E47A2" w:rsidP="00CE285C">
            <w:pPr>
              <w:autoSpaceDE w:val="0"/>
              <w:autoSpaceDN w:val="0"/>
              <w:spacing w:after="0" w:line="240" w:lineRule="auto"/>
              <w:contextualSpacing/>
              <w:jc w:val="both"/>
              <w:rPr>
                <w:rFonts w:ascii="Times New Roman" w:hAnsi="Times New Roman"/>
                <w:b/>
                <w:sz w:val="24"/>
                <w:szCs w:val="24"/>
              </w:rPr>
            </w:pPr>
            <w:r w:rsidRPr="00CE285C">
              <w:rPr>
                <w:rFonts w:ascii="Times New Roman" w:hAnsi="Times New Roman"/>
                <w:sz w:val="24"/>
                <w:szCs w:val="24"/>
                <w:lang w:val="en-US"/>
              </w:rPr>
              <w:t xml:space="preserve">The maximum volume of loss coverage that Invega, as the INVEGA fund manager, can pay to the manager of the TCIPG </w:t>
            </w:r>
            <w:r w:rsidR="003F2A4B">
              <w:rPr>
                <w:rFonts w:ascii="Times New Roman" w:hAnsi="Times New Roman"/>
                <w:sz w:val="24"/>
                <w:szCs w:val="24"/>
                <w:lang w:val="en-US"/>
              </w:rPr>
              <w:t>instrument</w:t>
            </w:r>
            <w:r w:rsidRPr="00CE285C">
              <w:rPr>
                <w:rFonts w:ascii="Times New Roman" w:hAnsi="Times New Roman"/>
                <w:sz w:val="24"/>
                <w:szCs w:val="24"/>
                <w:lang w:val="en-US"/>
              </w:rPr>
              <w:t xml:space="preserve">, </w:t>
            </w:r>
            <w:proofErr w:type="spellStart"/>
            <w:r w:rsidRPr="00CE285C">
              <w:rPr>
                <w:rFonts w:ascii="Times New Roman" w:hAnsi="Times New Roman"/>
                <w:sz w:val="24"/>
                <w:szCs w:val="24"/>
                <w:lang w:val="en-US"/>
              </w:rPr>
              <w:t>i</w:t>
            </w:r>
            <w:proofErr w:type="spellEnd"/>
            <w:r w:rsidRPr="00CE285C">
              <w:rPr>
                <w:rFonts w:ascii="Times New Roman" w:hAnsi="Times New Roman"/>
                <w:sz w:val="24"/>
                <w:szCs w:val="24"/>
                <w:lang w:val="en-US"/>
              </w:rPr>
              <w:t xml:space="preserve">. </w:t>
            </w:r>
            <w:r w:rsidR="00EF0186">
              <w:rPr>
                <w:rFonts w:ascii="Times New Roman" w:hAnsi="Times New Roman"/>
                <w:sz w:val="24"/>
                <w:szCs w:val="24"/>
                <w:lang w:val="en-US"/>
              </w:rPr>
              <w:t>e</w:t>
            </w:r>
            <w:r w:rsidRPr="00CE285C">
              <w:rPr>
                <w:rFonts w:ascii="Times New Roman" w:hAnsi="Times New Roman"/>
                <w:sz w:val="24"/>
                <w:szCs w:val="24"/>
                <w:lang w:val="en-US"/>
              </w:rPr>
              <w:t xml:space="preserve">. 100 (one hundred) % from the guaranteed amount of the Insurance </w:t>
            </w:r>
            <w:r w:rsidR="0043291D">
              <w:rPr>
                <w:rFonts w:ascii="Times New Roman" w:hAnsi="Times New Roman"/>
                <w:sz w:val="24"/>
                <w:szCs w:val="24"/>
                <w:lang w:val="en-US"/>
              </w:rPr>
              <w:t>p</w:t>
            </w:r>
            <w:r w:rsidRPr="00CE285C">
              <w:rPr>
                <w:rFonts w:ascii="Times New Roman" w:hAnsi="Times New Roman"/>
                <w:sz w:val="24"/>
                <w:szCs w:val="24"/>
                <w:lang w:val="en-US"/>
              </w:rPr>
              <w:t xml:space="preserve">ortfolio. Total </w:t>
            </w:r>
            <w:r w:rsidR="0074262F" w:rsidRPr="0074262F">
              <w:rPr>
                <w:rFonts w:ascii="Times New Roman" w:eastAsia="MS PGothic" w:hAnsi="Times New Roman"/>
                <w:color w:val="000000"/>
                <w:kern w:val="24"/>
                <w:sz w:val="24"/>
                <w:szCs w:val="24"/>
                <w:lang w:val="en-US" w:eastAsia="lt-LT"/>
              </w:rPr>
              <w:t>m</w:t>
            </w:r>
            <w:r w:rsidRPr="00CE285C">
              <w:rPr>
                <w:rFonts w:ascii="Times New Roman" w:hAnsi="Times New Roman"/>
                <w:sz w:val="24"/>
                <w:szCs w:val="24"/>
                <w:lang w:val="en-US"/>
              </w:rPr>
              <w:t xml:space="preserve">aximum </w:t>
            </w:r>
            <w:r w:rsidR="00CB3F8E">
              <w:rPr>
                <w:rFonts w:ascii="Times New Roman" w:hAnsi="Times New Roman"/>
                <w:sz w:val="24"/>
                <w:szCs w:val="24"/>
                <w:lang w:val="en-US"/>
              </w:rPr>
              <w:t xml:space="preserve">loss </w:t>
            </w:r>
            <w:r w:rsidR="00211670" w:rsidRPr="00CE285C">
              <w:rPr>
                <w:rFonts w:ascii="Times New Roman" w:hAnsi="Times New Roman"/>
                <w:sz w:val="24"/>
                <w:szCs w:val="24"/>
                <w:lang w:val="en-US"/>
              </w:rPr>
              <w:t>INVEGA</w:t>
            </w:r>
            <w:r w:rsidR="00211670" w:rsidRPr="00CE285C">
              <w:rPr>
                <w:rFonts w:ascii="Times New Roman" w:hAnsi="Times New Roman"/>
                <w:sz w:val="24"/>
                <w:szCs w:val="24"/>
                <w:lang w:val="en-US"/>
              </w:rPr>
              <w:t xml:space="preserve"> </w:t>
            </w:r>
            <w:r w:rsidRPr="00CE285C">
              <w:rPr>
                <w:rFonts w:ascii="Times New Roman" w:hAnsi="Times New Roman"/>
                <w:sz w:val="24"/>
                <w:szCs w:val="24"/>
                <w:lang w:val="en-US"/>
              </w:rPr>
              <w:t xml:space="preserve">coverage volume up to the second loss threshold shall be EUR </w:t>
            </w:r>
            <w:r w:rsidR="00211670">
              <w:rPr>
                <w:rFonts w:ascii="Times New Roman" w:hAnsi="Times New Roman"/>
                <w:sz w:val="24"/>
                <w:szCs w:val="24"/>
                <w:lang w:val="en-US"/>
              </w:rPr>
              <w:t>500</w:t>
            </w:r>
            <w:r w:rsidRPr="00CE285C">
              <w:rPr>
                <w:rFonts w:ascii="Times New Roman" w:hAnsi="Times New Roman"/>
                <w:sz w:val="24"/>
                <w:szCs w:val="24"/>
                <w:lang w:val="en-US"/>
              </w:rPr>
              <w:t xml:space="preserve"> </w:t>
            </w:r>
            <w:r w:rsidR="0074262F" w:rsidRPr="0074262F">
              <w:rPr>
                <w:rFonts w:ascii="Times New Roman" w:eastAsia="MS PGothic" w:hAnsi="Times New Roman"/>
                <w:color w:val="000000"/>
                <w:kern w:val="24"/>
                <w:sz w:val="24"/>
                <w:szCs w:val="24"/>
                <w:lang w:val="en-US" w:eastAsia="lt-LT"/>
              </w:rPr>
              <w:t>million</w:t>
            </w:r>
          </w:p>
        </w:tc>
      </w:tr>
      <w:tr w:rsidR="00796B74" w14:paraId="00248EE8" w14:textId="77777777" w:rsidTr="00DA4696">
        <w:tc>
          <w:tcPr>
            <w:tcW w:w="2853" w:type="dxa"/>
            <w:tcBorders>
              <w:bottom w:val="single" w:sz="4" w:space="0" w:color="000000"/>
            </w:tcBorders>
          </w:tcPr>
          <w:p w14:paraId="75D8D91C" w14:textId="77777777" w:rsidR="00CE285C" w:rsidRPr="002F19E8" w:rsidRDefault="004E47A2" w:rsidP="00CE285C">
            <w:pPr>
              <w:autoSpaceDE w:val="0"/>
              <w:autoSpaceDN w:val="0"/>
              <w:spacing w:after="0" w:line="240" w:lineRule="auto"/>
              <w:contextualSpacing/>
              <w:jc w:val="both"/>
              <w:rPr>
                <w:rFonts w:ascii="Times New Roman" w:hAnsi="Times New Roman"/>
                <w:b/>
                <w:sz w:val="24"/>
                <w:szCs w:val="24"/>
              </w:rPr>
            </w:pPr>
            <w:r w:rsidRPr="002F19E8">
              <w:rPr>
                <w:rFonts w:ascii="Times New Roman" w:hAnsi="Times New Roman"/>
                <w:b/>
                <w:sz w:val="24"/>
                <w:szCs w:val="24"/>
                <w:lang w:val="en-US"/>
              </w:rPr>
              <w:t>Guarantee currency</w:t>
            </w:r>
          </w:p>
        </w:tc>
        <w:tc>
          <w:tcPr>
            <w:tcW w:w="6894" w:type="dxa"/>
            <w:tcBorders>
              <w:bottom w:val="single" w:sz="4" w:space="0" w:color="000000"/>
            </w:tcBorders>
          </w:tcPr>
          <w:p w14:paraId="1B0DEC07" w14:textId="77777777" w:rsidR="00CE285C" w:rsidRPr="002F19E8" w:rsidRDefault="004E47A2" w:rsidP="00CE285C">
            <w:pPr>
              <w:autoSpaceDE w:val="0"/>
              <w:autoSpaceDN w:val="0"/>
              <w:spacing w:after="0" w:line="240" w:lineRule="auto"/>
              <w:contextualSpacing/>
              <w:jc w:val="both"/>
              <w:rPr>
                <w:rFonts w:ascii="Times New Roman" w:hAnsi="Times New Roman"/>
                <w:sz w:val="24"/>
                <w:szCs w:val="24"/>
              </w:rPr>
            </w:pPr>
            <w:r w:rsidRPr="002F19E8">
              <w:rPr>
                <w:rFonts w:ascii="Times New Roman" w:hAnsi="Times New Roman"/>
                <w:sz w:val="24"/>
                <w:szCs w:val="24"/>
                <w:lang w:val="en-US"/>
              </w:rPr>
              <w:t>All amounts are expressed in euros. All payments under the Contract shall be made in euros</w:t>
            </w:r>
          </w:p>
        </w:tc>
      </w:tr>
      <w:tr w:rsidR="00796B74" w14:paraId="38841E98" w14:textId="77777777" w:rsidTr="00DA4696">
        <w:tc>
          <w:tcPr>
            <w:tcW w:w="2853" w:type="dxa"/>
            <w:tcBorders>
              <w:bottom w:val="single" w:sz="4" w:space="0" w:color="000000"/>
            </w:tcBorders>
          </w:tcPr>
          <w:p w14:paraId="158AFCE7" w14:textId="49087D95" w:rsidR="00CE285C" w:rsidRPr="002F19E8" w:rsidRDefault="004E47A2" w:rsidP="00CE285C">
            <w:pPr>
              <w:autoSpaceDE w:val="0"/>
              <w:autoSpaceDN w:val="0"/>
              <w:spacing w:after="0" w:line="240" w:lineRule="auto"/>
              <w:contextualSpacing/>
              <w:jc w:val="both"/>
              <w:rPr>
                <w:rFonts w:ascii="Times New Roman" w:hAnsi="Times New Roman"/>
                <w:b/>
                <w:sz w:val="24"/>
                <w:szCs w:val="24"/>
              </w:rPr>
            </w:pPr>
            <w:r w:rsidRPr="00471552">
              <w:rPr>
                <w:rFonts w:ascii="Times New Roman" w:hAnsi="Times New Roman"/>
                <w:b/>
                <w:sz w:val="24"/>
                <w:szCs w:val="24"/>
                <w:lang w:val="en-US"/>
              </w:rPr>
              <w:t xml:space="preserve">Transferable </w:t>
            </w:r>
            <w:r w:rsidR="00471552" w:rsidRPr="00471552">
              <w:rPr>
                <w:rFonts w:ascii="Times New Roman" w:hAnsi="Times New Roman"/>
                <w:b/>
                <w:sz w:val="24"/>
                <w:szCs w:val="24"/>
                <w:lang w:val="en-US"/>
              </w:rPr>
              <w:t>i</w:t>
            </w:r>
            <w:r w:rsidRPr="00471552">
              <w:rPr>
                <w:rFonts w:ascii="Times New Roman" w:hAnsi="Times New Roman"/>
                <w:b/>
                <w:sz w:val="24"/>
                <w:szCs w:val="24"/>
                <w:lang w:val="en-US"/>
              </w:rPr>
              <w:t xml:space="preserve">nsurance </w:t>
            </w:r>
            <w:r w:rsidR="00471552" w:rsidRPr="00471552">
              <w:rPr>
                <w:rFonts w:ascii="Times New Roman" w:hAnsi="Times New Roman"/>
                <w:b/>
                <w:sz w:val="24"/>
                <w:szCs w:val="24"/>
                <w:lang w:val="en-US"/>
              </w:rPr>
              <w:t>p</w:t>
            </w:r>
            <w:r w:rsidRPr="00471552">
              <w:rPr>
                <w:rFonts w:ascii="Times New Roman" w:hAnsi="Times New Roman"/>
                <w:b/>
                <w:sz w:val="24"/>
                <w:szCs w:val="24"/>
                <w:lang w:val="en-US"/>
              </w:rPr>
              <w:t>remium</w:t>
            </w:r>
          </w:p>
        </w:tc>
        <w:tc>
          <w:tcPr>
            <w:tcW w:w="6894" w:type="dxa"/>
            <w:tcBorders>
              <w:bottom w:val="single" w:sz="4" w:space="0" w:color="000000"/>
            </w:tcBorders>
          </w:tcPr>
          <w:p w14:paraId="1014DA40" w14:textId="7C49AFF9" w:rsidR="00CE285C" w:rsidRPr="002F19E8" w:rsidRDefault="004E47A2" w:rsidP="00CE285C">
            <w:pPr>
              <w:keepNext/>
              <w:autoSpaceDE w:val="0"/>
              <w:autoSpaceDN w:val="0"/>
              <w:spacing w:after="0" w:line="240" w:lineRule="auto"/>
              <w:contextualSpacing/>
              <w:jc w:val="both"/>
              <w:rPr>
                <w:rFonts w:ascii="Times New Roman" w:hAnsi="Times New Roman"/>
                <w:sz w:val="24"/>
                <w:szCs w:val="24"/>
              </w:rPr>
            </w:pPr>
            <w:r w:rsidRPr="002F19E8">
              <w:rPr>
                <w:rFonts w:ascii="Times New Roman" w:hAnsi="Times New Roman"/>
                <w:sz w:val="24"/>
                <w:szCs w:val="24"/>
                <w:lang w:val="en-US"/>
              </w:rPr>
              <w:t xml:space="preserve">For each Insurance </w:t>
            </w:r>
            <w:r w:rsidR="00471552">
              <w:rPr>
                <w:rFonts w:ascii="Times New Roman" w:hAnsi="Times New Roman"/>
                <w:sz w:val="24"/>
                <w:szCs w:val="24"/>
                <w:lang w:val="en-US"/>
              </w:rPr>
              <w:t>c</w:t>
            </w:r>
            <w:r w:rsidRPr="002F19E8">
              <w:rPr>
                <w:rFonts w:ascii="Times New Roman" w:hAnsi="Times New Roman"/>
                <w:sz w:val="24"/>
                <w:szCs w:val="24"/>
                <w:lang w:val="en-US"/>
              </w:rPr>
              <w:t xml:space="preserve">ontract included in the Insurance </w:t>
            </w:r>
            <w:r w:rsidR="00471552">
              <w:rPr>
                <w:rFonts w:ascii="Times New Roman" w:hAnsi="Times New Roman"/>
                <w:sz w:val="24"/>
                <w:szCs w:val="24"/>
                <w:lang w:val="en-US"/>
              </w:rPr>
              <w:t>p</w:t>
            </w:r>
            <w:r w:rsidRPr="002F19E8">
              <w:rPr>
                <w:rFonts w:ascii="Times New Roman" w:hAnsi="Times New Roman"/>
                <w:sz w:val="24"/>
                <w:szCs w:val="24"/>
                <w:lang w:val="en-US"/>
              </w:rPr>
              <w:t xml:space="preserve">ortfolio, the Policyholder shall pay </w:t>
            </w:r>
            <w:r w:rsidR="006E50F2" w:rsidRPr="00471552">
              <w:rPr>
                <w:rFonts w:ascii="Times New Roman" w:hAnsi="Times New Roman"/>
                <w:sz w:val="24"/>
                <w:szCs w:val="24"/>
                <w:lang w:val="en-US"/>
              </w:rPr>
              <w:t>i</w:t>
            </w:r>
            <w:r w:rsidRPr="00471552">
              <w:rPr>
                <w:rFonts w:ascii="Times New Roman" w:hAnsi="Times New Roman"/>
                <w:sz w:val="24"/>
                <w:szCs w:val="24"/>
                <w:lang w:val="en-US"/>
              </w:rPr>
              <w:t>nsurance</w:t>
            </w:r>
            <w:r w:rsidRPr="002F19E8">
              <w:rPr>
                <w:rFonts w:ascii="Times New Roman" w:hAnsi="Times New Roman"/>
                <w:sz w:val="24"/>
                <w:szCs w:val="24"/>
                <w:lang w:val="en-US"/>
              </w:rPr>
              <w:t xml:space="preserve"> </w:t>
            </w:r>
            <w:r w:rsidR="006E50F2">
              <w:rPr>
                <w:rFonts w:ascii="Times New Roman" w:hAnsi="Times New Roman"/>
                <w:sz w:val="24"/>
                <w:szCs w:val="24"/>
                <w:lang w:val="en-US"/>
              </w:rPr>
              <w:t>p</w:t>
            </w:r>
            <w:r w:rsidRPr="002F19E8">
              <w:rPr>
                <w:rFonts w:ascii="Times New Roman" w:hAnsi="Times New Roman"/>
                <w:sz w:val="24"/>
                <w:szCs w:val="24"/>
                <w:lang w:val="en-US"/>
              </w:rPr>
              <w:t xml:space="preserve">remium to the Insurer, </w:t>
            </w:r>
            <w:r w:rsidR="00471552">
              <w:rPr>
                <w:rFonts w:ascii="Times New Roman" w:hAnsi="Times New Roman"/>
                <w:sz w:val="24"/>
                <w:szCs w:val="24"/>
                <w:lang w:val="en-US"/>
              </w:rPr>
              <w:t xml:space="preserve">specified by Insurance contract, </w:t>
            </w:r>
            <w:r w:rsidRPr="002F19E8">
              <w:rPr>
                <w:rFonts w:ascii="Times New Roman" w:hAnsi="Times New Roman"/>
                <w:sz w:val="24"/>
                <w:szCs w:val="24"/>
                <w:lang w:val="en-US"/>
              </w:rPr>
              <w:t xml:space="preserve">which the Insurer shall transfer to the INVEGA </w:t>
            </w:r>
            <w:r w:rsidR="001C575D">
              <w:rPr>
                <w:rFonts w:ascii="Times New Roman" w:hAnsi="Times New Roman"/>
                <w:sz w:val="24"/>
                <w:szCs w:val="24"/>
                <w:lang w:val="en-US"/>
              </w:rPr>
              <w:t>f</w:t>
            </w:r>
            <w:r w:rsidRPr="002F19E8">
              <w:rPr>
                <w:rFonts w:ascii="Times New Roman" w:hAnsi="Times New Roman"/>
                <w:sz w:val="24"/>
                <w:szCs w:val="24"/>
                <w:lang w:val="en-US"/>
              </w:rPr>
              <w:t xml:space="preserve">und. </w:t>
            </w:r>
          </w:p>
          <w:p w14:paraId="6F9EC1F7" w14:textId="3F7D6C59" w:rsidR="00CE285C" w:rsidRPr="002F19E8" w:rsidRDefault="006E50F2" w:rsidP="00211670">
            <w:pPr>
              <w:keepNext/>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lang w:val="en-US"/>
              </w:rPr>
              <w:t>I</w:t>
            </w:r>
            <w:r w:rsidR="004E47A2" w:rsidRPr="002F19E8">
              <w:rPr>
                <w:rFonts w:ascii="Times New Roman" w:hAnsi="Times New Roman"/>
                <w:sz w:val="24"/>
                <w:szCs w:val="24"/>
                <w:lang w:val="en-US"/>
              </w:rPr>
              <w:t xml:space="preserve">nsurance premiums received by the Insurer for all Insurance </w:t>
            </w:r>
            <w:r w:rsidR="0043291D">
              <w:rPr>
                <w:rFonts w:ascii="Times New Roman" w:hAnsi="Times New Roman"/>
                <w:sz w:val="24"/>
                <w:szCs w:val="24"/>
                <w:lang w:val="en-US"/>
              </w:rPr>
              <w:t>c</w:t>
            </w:r>
            <w:r w:rsidR="004E47A2" w:rsidRPr="002F19E8">
              <w:rPr>
                <w:rFonts w:ascii="Times New Roman" w:hAnsi="Times New Roman"/>
                <w:sz w:val="24"/>
                <w:szCs w:val="24"/>
                <w:lang w:val="en-US"/>
              </w:rPr>
              <w:t xml:space="preserve">ontracts included in the Insurance </w:t>
            </w:r>
            <w:r w:rsidR="0043291D">
              <w:rPr>
                <w:rFonts w:ascii="Times New Roman" w:hAnsi="Times New Roman"/>
                <w:sz w:val="24"/>
                <w:szCs w:val="24"/>
                <w:lang w:val="en-US"/>
              </w:rPr>
              <w:t>p</w:t>
            </w:r>
            <w:r w:rsidR="004E47A2" w:rsidRPr="002F19E8">
              <w:rPr>
                <w:rFonts w:ascii="Times New Roman" w:hAnsi="Times New Roman"/>
                <w:sz w:val="24"/>
                <w:szCs w:val="24"/>
                <w:lang w:val="en-US"/>
              </w:rPr>
              <w:t xml:space="preserve">ortfolio in 2020 shall be transferred to the INVEGA </w:t>
            </w:r>
            <w:r w:rsidR="001C575D">
              <w:rPr>
                <w:rFonts w:ascii="Times New Roman" w:hAnsi="Times New Roman"/>
                <w:sz w:val="24"/>
                <w:szCs w:val="24"/>
                <w:lang w:val="en-US"/>
              </w:rPr>
              <w:t>f</w:t>
            </w:r>
            <w:r w:rsidR="004E47A2" w:rsidRPr="002F19E8">
              <w:rPr>
                <w:rFonts w:ascii="Times New Roman" w:hAnsi="Times New Roman"/>
                <w:sz w:val="24"/>
                <w:szCs w:val="24"/>
                <w:lang w:val="en-US"/>
              </w:rPr>
              <w:t>und</w:t>
            </w:r>
          </w:p>
        </w:tc>
      </w:tr>
      <w:tr w:rsidR="00796B74" w14:paraId="7FD074CA" w14:textId="77777777" w:rsidTr="00DA4696">
        <w:tc>
          <w:tcPr>
            <w:tcW w:w="2853" w:type="dxa"/>
            <w:tcBorders>
              <w:bottom w:val="single" w:sz="4" w:space="0" w:color="000000"/>
            </w:tcBorders>
          </w:tcPr>
          <w:p w14:paraId="3F966EA2" w14:textId="78FE0500" w:rsidR="003C2B37" w:rsidRPr="002F19E8" w:rsidRDefault="004E47A2" w:rsidP="00CE285C">
            <w:pPr>
              <w:rPr>
                <w:rFonts w:ascii="Times New Roman" w:hAnsi="Times New Roman"/>
                <w:b/>
                <w:bCs/>
                <w:sz w:val="24"/>
                <w:szCs w:val="24"/>
              </w:rPr>
            </w:pPr>
            <w:r>
              <w:rPr>
                <w:rFonts w:ascii="Times New Roman" w:hAnsi="Times New Roman"/>
                <w:b/>
                <w:bCs/>
                <w:sz w:val="24"/>
                <w:szCs w:val="24"/>
                <w:lang w:val="en-US"/>
              </w:rPr>
              <w:t>Administrat</w:t>
            </w:r>
            <w:r w:rsidR="00EF0186">
              <w:rPr>
                <w:rFonts w:ascii="Times New Roman" w:hAnsi="Times New Roman"/>
                <w:b/>
                <w:bCs/>
                <w:sz w:val="24"/>
                <w:szCs w:val="24"/>
                <w:lang w:val="en-US"/>
              </w:rPr>
              <w:t>ion</w:t>
            </w:r>
            <w:r w:rsidR="00471552">
              <w:rPr>
                <w:rFonts w:ascii="Times New Roman" w:hAnsi="Times New Roman"/>
                <w:b/>
                <w:bCs/>
                <w:sz w:val="24"/>
                <w:szCs w:val="24"/>
                <w:lang w:val="en-US"/>
              </w:rPr>
              <w:t xml:space="preserve"> </w:t>
            </w:r>
            <w:r w:rsidR="00EF0186">
              <w:rPr>
                <w:rFonts w:ascii="Times New Roman" w:hAnsi="Times New Roman"/>
                <w:b/>
                <w:bCs/>
                <w:sz w:val="24"/>
                <w:szCs w:val="24"/>
                <w:lang w:val="en-US"/>
              </w:rPr>
              <w:t>costs</w:t>
            </w:r>
          </w:p>
        </w:tc>
        <w:tc>
          <w:tcPr>
            <w:tcW w:w="6894" w:type="dxa"/>
            <w:tcBorders>
              <w:bottom w:val="single" w:sz="4" w:space="0" w:color="000000"/>
            </w:tcBorders>
          </w:tcPr>
          <w:p w14:paraId="0640D24D" w14:textId="18F3F40F" w:rsidR="003C2B37" w:rsidRPr="002F19E8" w:rsidRDefault="004E47A2" w:rsidP="00471552">
            <w:pPr>
              <w:tabs>
                <w:tab w:val="left" w:pos="567"/>
                <w:tab w:val="left" w:pos="851"/>
              </w:tabs>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lang w:val="en-US"/>
              </w:rPr>
              <w:t xml:space="preserve">Insurance </w:t>
            </w:r>
            <w:r w:rsidR="0043291D">
              <w:rPr>
                <w:rFonts w:ascii="Times New Roman" w:hAnsi="Times New Roman"/>
                <w:bCs/>
                <w:sz w:val="24"/>
                <w:szCs w:val="24"/>
                <w:lang w:val="en-US"/>
              </w:rPr>
              <w:t>c</w:t>
            </w:r>
            <w:r>
              <w:rPr>
                <w:rFonts w:ascii="Times New Roman" w:hAnsi="Times New Roman"/>
                <w:bCs/>
                <w:sz w:val="24"/>
                <w:szCs w:val="24"/>
                <w:lang w:val="en-US"/>
              </w:rPr>
              <w:t xml:space="preserve">ontract administration costs incurred by the Insurer, which will be reimbursed by Invega and will amount to 35% from all </w:t>
            </w:r>
            <w:r w:rsidR="00211670" w:rsidRPr="00C35618">
              <w:rPr>
                <w:rFonts w:ascii="Times New Roman" w:hAnsi="Times New Roman"/>
                <w:bCs/>
                <w:sz w:val="24"/>
                <w:szCs w:val="24"/>
                <w:lang w:val="en-US"/>
              </w:rPr>
              <w:lastRenderedPageBreak/>
              <w:t xml:space="preserve">insurance premiums of Insurance </w:t>
            </w:r>
            <w:r w:rsidR="00211670">
              <w:rPr>
                <w:rFonts w:ascii="Times New Roman" w:hAnsi="Times New Roman"/>
                <w:bCs/>
                <w:sz w:val="24"/>
                <w:szCs w:val="24"/>
                <w:lang w:val="en-US"/>
              </w:rPr>
              <w:t>c</w:t>
            </w:r>
            <w:r w:rsidR="00211670" w:rsidRPr="00C35618">
              <w:rPr>
                <w:rFonts w:ascii="Times New Roman" w:hAnsi="Times New Roman"/>
                <w:bCs/>
                <w:sz w:val="24"/>
                <w:szCs w:val="24"/>
                <w:lang w:val="en-US"/>
              </w:rPr>
              <w:t xml:space="preserve">ontracts included in the Insurance </w:t>
            </w:r>
            <w:r w:rsidR="00211670">
              <w:rPr>
                <w:rFonts w:ascii="Times New Roman" w:hAnsi="Times New Roman"/>
                <w:bCs/>
                <w:sz w:val="24"/>
                <w:szCs w:val="24"/>
                <w:lang w:val="en-US"/>
              </w:rPr>
              <w:t>p</w:t>
            </w:r>
            <w:r w:rsidR="00211670" w:rsidRPr="00C35618">
              <w:rPr>
                <w:rFonts w:ascii="Times New Roman" w:hAnsi="Times New Roman"/>
                <w:bCs/>
                <w:sz w:val="24"/>
                <w:szCs w:val="24"/>
                <w:lang w:val="en-US"/>
              </w:rPr>
              <w:t>ortfolio in 2020</w:t>
            </w:r>
          </w:p>
        </w:tc>
      </w:tr>
      <w:tr w:rsidR="00796B74" w14:paraId="11A3964E" w14:textId="77777777" w:rsidTr="00DA4696">
        <w:tc>
          <w:tcPr>
            <w:tcW w:w="2853" w:type="dxa"/>
            <w:tcBorders>
              <w:bottom w:val="single" w:sz="4" w:space="0" w:color="000000"/>
            </w:tcBorders>
          </w:tcPr>
          <w:p w14:paraId="7B1D58A6" w14:textId="77777777" w:rsidR="00CE285C" w:rsidRPr="002F19E8" w:rsidRDefault="004E47A2" w:rsidP="00CE285C">
            <w:pPr>
              <w:rPr>
                <w:rFonts w:ascii="Times New Roman" w:hAnsi="Times New Roman"/>
                <w:b/>
                <w:bCs/>
                <w:sz w:val="24"/>
                <w:szCs w:val="24"/>
              </w:rPr>
            </w:pPr>
            <w:r w:rsidRPr="002F19E8">
              <w:rPr>
                <w:rFonts w:ascii="Times New Roman" w:hAnsi="Times New Roman"/>
                <w:b/>
                <w:bCs/>
                <w:sz w:val="24"/>
                <w:szCs w:val="24"/>
                <w:lang w:val="en-US"/>
              </w:rPr>
              <w:lastRenderedPageBreak/>
              <w:t>Contract</w:t>
            </w:r>
          </w:p>
        </w:tc>
        <w:tc>
          <w:tcPr>
            <w:tcW w:w="6894" w:type="dxa"/>
            <w:tcBorders>
              <w:bottom w:val="single" w:sz="4" w:space="0" w:color="000000"/>
            </w:tcBorders>
          </w:tcPr>
          <w:p w14:paraId="2FDECE78" w14:textId="777FB606" w:rsidR="00CE285C" w:rsidRPr="002F19E8" w:rsidRDefault="004E47A2" w:rsidP="00CE285C">
            <w:pPr>
              <w:autoSpaceDE w:val="0"/>
              <w:autoSpaceDN w:val="0"/>
              <w:spacing w:after="0" w:line="240" w:lineRule="auto"/>
              <w:contextualSpacing/>
              <w:jc w:val="both"/>
            </w:pPr>
            <w:r w:rsidRPr="002F19E8">
              <w:rPr>
                <w:rFonts w:ascii="Times New Roman" w:hAnsi="Times New Roman"/>
                <w:sz w:val="24"/>
                <w:szCs w:val="24"/>
                <w:lang w:val="en-US"/>
              </w:rPr>
              <w:t xml:space="preserve">The contract signed by Invega with a selected TCIPG </w:t>
            </w:r>
            <w:r w:rsidR="003F2A4B">
              <w:rPr>
                <w:rFonts w:ascii="Times New Roman" w:hAnsi="Times New Roman"/>
                <w:sz w:val="24"/>
                <w:szCs w:val="24"/>
                <w:lang w:val="en-US"/>
              </w:rPr>
              <w:t>instrument</w:t>
            </w:r>
            <w:r w:rsidRPr="002F19E8">
              <w:rPr>
                <w:rFonts w:ascii="Times New Roman" w:hAnsi="Times New Roman"/>
                <w:sz w:val="24"/>
                <w:szCs w:val="24"/>
                <w:lang w:val="en-US"/>
              </w:rPr>
              <w:t xml:space="preserve"> manager</w:t>
            </w:r>
          </w:p>
        </w:tc>
      </w:tr>
      <w:tr w:rsidR="00796B74" w14:paraId="6ABAF396" w14:textId="77777777" w:rsidTr="00DA4696">
        <w:tc>
          <w:tcPr>
            <w:tcW w:w="2853" w:type="dxa"/>
            <w:tcBorders>
              <w:bottom w:val="single" w:sz="4" w:space="0" w:color="000000"/>
            </w:tcBorders>
          </w:tcPr>
          <w:p w14:paraId="4BC9F777" w14:textId="77777777" w:rsidR="00846330" w:rsidRPr="002F19E8" w:rsidRDefault="004E47A2" w:rsidP="00CE285C">
            <w:pPr>
              <w:rPr>
                <w:rFonts w:ascii="Times New Roman" w:hAnsi="Times New Roman"/>
                <w:b/>
                <w:bCs/>
                <w:sz w:val="24"/>
                <w:szCs w:val="24"/>
              </w:rPr>
            </w:pPr>
            <w:r>
              <w:rPr>
                <w:rFonts w:ascii="Times New Roman" w:hAnsi="Times New Roman"/>
                <w:b/>
                <w:bCs/>
                <w:sz w:val="24"/>
                <w:szCs w:val="24"/>
                <w:lang w:val="en-US"/>
              </w:rPr>
              <w:t>Debt</w:t>
            </w:r>
          </w:p>
        </w:tc>
        <w:tc>
          <w:tcPr>
            <w:tcW w:w="6894" w:type="dxa"/>
            <w:tcBorders>
              <w:bottom w:val="single" w:sz="4" w:space="0" w:color="000000"/>
            </w:tcBorders>
          </w:tcPr>
          <w:p w14:paraId="1E2774DD" w14:textId="1770765D" w:rsidR="00846330" w:rsidRPr="00846330" w:rsidRDefault="004E47A2" w:rsidP="00CE285C">
            <w:pPr>
              <w:autoSpaceDE w:val="0"/>
              <w:autoSpaceDN w:val="0"/>
              <w:spacing w:after="0" w:line="240" w:lineRule="auto"/>
              <w:contextualSpacing/>
              <w:jc w:val="both"/>
              <w:rPr>
                <w:rFonts w:ascii="Times New Roman" w:hAnsi="Times New Roman"/>
                <w:sz w:val="24"/>
                <w:szCs w:val="24"/>
              </w:rPr>
            </w:pPr>
            <w:r w:rsidRPr="00A767CA">
              <w:rPr>
                <w:rFonts w:ascii="Times New Roman" w:hAnsi="Times New Roman"/>
                <w:sz w:val="24"/>
                <w:szCs w:val="24"/>
                <w:lang w:val="en-US"/>
              </w:rPr>
              <w:t xml:space="preserve">The amount of one or more invoices insured by the </w:t>
            </w:r>
            <w:r w:rsidR="006E50F2">
              <w:rPr>
                <w:rFonts w:ascii="Times New Roman" w:hAnsi="Times New Roman"/>
                <w:sz w:val="24"/>
                <w:szCs w:val="24"/>
                <w:lang w:val="en-US"/>
              </w:rPr>
              <w:t>I</w:t>
            </w:r>
            <w:r w:rsidRPr="00A767CA">
              <w:rPr>
                <w:rFonts w:ascii="Times New Roman" w:hAnsi="Times New Roman"/>
                <w:sz w:val="24"/>
                <w:szCs w:val="24"/>
                <w:lang w:val="en-US"/>
              </w:rPr>
              <w:t xml:space="preserve">nsurance </w:t>
            </w:r>
            <w:r w:rsidR="0043291D">
              <w:rPr>
                <w:rFonts w:ascii="Times New Roman" w:hAnsi="Times New Roman"/>
                <w:sz w:val="24"/>
                <w:szCs w:val="24"/>
                <w:lang w:val="en-US"/>
              </w:rPr>
              <w:t>c</w:t>
            </w:r>
            <w:r w:rsidRPr="00A767CA">
              <w:rPr>
                <w:rFonts w:ascii="Times New Roman" w:hAnsi="Times New Roman"/>
                <w:sz w:val="24"/>
                <w:szCs w:val="24"/>
                <w:lang w:val="en-US"/>
              </w:rPr>
              <w:t>ontract, which the buyer is obliged to pay under the concluded contract of sale of goods or provision of services with the Policyholder within the set deadline for a deferred payment</w:t>
            </w:r>
          </w:p>
        </w:tc>
      </w:tr>
      <w:tr w:rsidR="00796B74" w14:paraId="20B8B3D0" w14:textId="77777777" w:rsidTr="00DA4696">
        <w:tc>
          <w:tcPr>
            <w:tcW w:w="2853" w:type="dxa"/>
            <w:tcBorders>
              <w:bottom w:val="single" w:sz="4" w:space="0" w:color="000000"/>
            </w:tcBorders>
          </w:tcPr>
          <w:p w14:paraId="211FAF44" w14:textId="77777777" w:rsidR="00CE285C" w:rsidRPr="002F19E8" w:rsidRDefault="004E47A2" w:rsidP="00CE285C">
            <w:pPr>
              <w:autoSpaceDE w:val="0"/>
              <w:autoSpaceDN w:val="0"/>
              <w:spacing w:after="0" w:line="240" w:lineRule="auto"/>
              <w:contextualSpacing/>
              <w:jc w:val="both"/>
              <w:rPr>
                <w:rFonts w:ascii="Times New Roman" w:hAnsi="Times New Roman"/>
                <w:b/>
                <w:sz w:val="24"/>
                <w:szCs w:val="24"/>
              </w:rPr>
            </w:pPr>
            <w:r>
              <w:rPr>
                <w:rFonts w:ascii="Times New Roman" w:hAnsi="Times New Roman"/>
                <w:b/>
                <w:sz w:val="24"/>
                <w:szCs w:val="24"/>
                <w:lang w:val="en-US"/>
              </w:rPr>
              <w:t>Overdue debt</w:t>
            </w:r>
          </w:p>
        </w:tc>
        <w:tc>
          <w:tcPr>
            <w:tcW w:w="6894" w:type="dxa"/>
            <w:tcBorders>
              <w:bottom w:val="single" w:sz="4" w:space="0" w:color="000000"/>
            </w:tcBorders>
          </w:tcPr>
          <w:p w14:paraId="52E11A3F" w14:textId="37E86EE0" w:rsidR="00CE285C" w:rsidRPr="002F19E8" w:rsidRDefault="004E47A2" w:rsidP="00211670">
            <w:pPr>
              <w:keepNext/>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lang w:val="en-US"/>
              </w:rPr>
              <w:t>The debt is considered overdue when the Policyholder's buyer fails to fulfill the financial obligations under the contract for the purchase of goods or provision of services between them in time</w:t>
            </w:r>
            <w:r w:rsidR="00211670">
              <w:rPr>
                <w:rFonts w:ascii="Times New Roman" w:hAnsi="Times New Roman"/>
                <w:sz w:val="24"/>
                <w:szCs w:val="24"/>
                <w:lang w:val="en-US"/>
              </w:rPr>
              <w:t xml:space="preserve"> </w:t>
            </w:r>
          </w:p>
        </w:tc>
      </w:tr>
      <w:tr w:rsidR="00796B74" w14:paraId="1F37FD5A" w14:textId="77777777" w:rsidTr="00DA4696">
        <w:tc>
          <w:tcPr>
            <w:tcW w:w="2853" w:type="dxa"/>
            <w:tcBorders>
              <w:bottom w:val="single" w:sz="4" w:space="0" w:color="000000"/>
            </w:tcBorders>
          </w:tcPr>
          <w:p w14:paraId="68D6ECA1" w14:textId="77777777" w:rsidR="0078034B" w:rsidRPr="00D87C94" w:rsidRDefault="004E47A2" w:rsidP="0078034B">
            <w:pPr>
              <w:autoSpaceDE w:val="0"/>
              <w:autoSpaceDN w:val="0"/>
              <w:spacing w:after="0" w:line="240" w:lineRule="auto"/>
              <w:contextualSpacing/>
              <w:jc w:val="both"/>
              <w:rPr>
                <w:rFonts w:ascii="Times New Roman" w:hAnsi="Times New Roman"/>
                <w:b/>
                <w:sz w:val="24"/>
                <w:szCs w:val="24"/>
              </w:rPr>
            </w:pPr>
            <w:r w:rsidRPr="002F19E8">
              <w:rPr>
                <w:rFonts w:ascii="Times New Roman" w:hAnsi="Times New Roman"/>
                <w:b/>
                <w:sz w:val="24"/>
                <w:szCs w:val="24"/>
                <w:lang w:val="en-US"/>
              </w:rPr>
              <w:t>Loss</w:t>
            </w:r>
          </w:p>
        </w:tc>
        <w:tc>
          <w:tcPr>
            <w:tcW w:w="6894" w:type="dxa"/>
            <w:tcBorders>
              <w:bottom w:val="single" w:sz="4" w:space="0" w:color="000000"/>
            </w:tcBorders>
          </w:tcPr>
          <w:p w14:paraId="7AA9D658" w14:textId="5D70923E" w:rsidR="00211670" w:rsidRDefault="004E47A2" w:rsidP="0078034B">
            <w:pPr>
              <w:pStyle w:val="ListParagraph"/>
              <w:tabs>
                <w:tab w:val="left" w:pos="851"/>
                <w:tab w:val="left" w:pos="993"/>
                <w:tab w:val="left" w:pos="1134"/>
              </w:tabs>
              <w:spacing w:after="0" w:line="240" w:lineRule="auto"/>
              <w:ind w:left="0"/>
              <w:jc w:val="both"/>
              <w:rPr>
                <w:rFonts w:ascii="Times New Roman" w:hAnsi="Times New Roman"/>
                <w:sz w:val="24"/>
                <w:szCs w:val="24"/>
                <w:lang w:val="en-US"/>
              </w:rPr>
            </w:pPr>
            <w:r w:rsidRPr="00E724BB">
              <w:rPr>
                <w:rFonts w:ascii="Times New Roman" w:hAnsi="Times New Roman"/>
                <w:sz w:val="24"/>
                <w:szCs w:val="24"/>
                <w:lang w:val="en-US"/>
              </w:rPr>
              <w:t xml:space="preserve">The amount of deferred payments (debt) not paid by the </w:t>
            </w:r>
            <w:r w:rsidR="006E50F2">
              <w:rPr>
                <w:rFonts w:ascii="Times New Roman" w:hAnsi="Times New Roman"/>
                <w:sz w:val="24"/>
                <w:szCs w:val="24"/>
                <w:lang w:val="en-US"/>
              </w:rPr>
              <w:t>b</w:t>
            </w:r>
            <w:r w:rsidRPr="00E724BB">
              <w:rPr>
                <w:rFonts w:ascii="Times New Roman" w:hAnsi="Times New Roman"/>
                <w:sz w:val="24"/>
                <w:szCs w:val="24"/>
                <w:lang w:val="en-US"/>
              </w:rPr>
              <w:t>uyer</w:t>
            </w:r>
            <w:r w:rsidR="00A43AA4">
              <w:rPr>
                <w:rFonts w:ascii="Times New Roman" w:hAnsi="Times New Roman"/>
                <w:sz w:val="24"/>
                <w:szCs w:val="24"/>
                <w:lang w:val="en-US"/>
              </w:rPr>
              <w:t xml:space="preserve"> </w:t>
            </w:r>
            <w:r w:rsidR="00A43AA4" w:rsidRPr="00E724BB">
              <w:rPr>
                <w:rFonts w:ascii="Times New Roman" w:hAnsi="Times New Roman"/>
                <w:sz w:val="24"/>
                <w:szCs w:val="24"/>
                <w:lang w:val="en-US"/>
              </w:rPr>
              <w:t>(deadline set by the Insurer within which the Policyholder must report the overdue debt)</w:t>
            </w:r>
            <w:r w:rsidR="00211670">
              <w:rPr>
                <w:rFonts w:ascii="Times New Roman" w:hAnsi="Times New Roman"/>
                <w:sz w:val="24"/>
                <w:szCs w:val="24"/>
                <w:lang w:val="en-US"/>
              </w:rPr>
              <w:t xml:space="preserve"> </w:t>
            </w:r>
            <w:r w:rsidR="00211670" w:rsidRPr="00E724BB">
              <w:rPr>
                <w:rFonts w:ascii="Times New Roman" w:hAnsi="Times New Roman"/>
                <w:sz w:val="24"/>
                <w:szCs w:val="24"/>
                <w:lang w:val="en-US"/>
              </w:rPr>
              <w:t>and not credited within the set period</w:t>
            </w:r>
            <w:r w:rsidR="00211670">
              <w:rPr>
                <w:rFonts w:ascii="Times New Roman" w:hAnsi="Times New Roman"/>
                <w:sz w:val="24"/>
                <w:szCs w:val="24"/>
                <w:lang w:val="en-US"/>
              </w:rPr>
              <w:t xml:space="preserve">, and </w:t>
            </w:r>
            <w:r w:rsidR="00211670" w:rsidRPr="00211670">
              <w:rPr>
                <w:rFonts w:ascii="Times New Roman" w:hAnsi="Times New Roman"/>
                <w:sz w:val="24"/>
                <w:szCs w:val="24"/>
                <w:lang w:val="en-US"/>
              </w:rPr>
              <w:t xml:space="preserve">which could not be recovered within the </w:t>
            </w:r>
            <w:r w:rsidR="00211670">
              <w:rPr>
                <w:rFonts w:ascii="Times New Roman" w:hAnsi="Times New Roman"/>
                <w:sz w:val="24"/>
                <w:szCs w:val="24"/>
                <w:lang w:val="en-US"/>
              </w:rPr>
              <w:t xml:space="preserve">deadline </w:t>
            </w:r>
            <w:r w:rsidR="00211670" w:rsidRPr="00211670">
              <w:rPr>
                <w:rFonts w:ascii="Times New Roman" w:hAnsi="Times New Roman"/>
                <w:sz w:val="24"/>
                <w:szCs w:val="24"/>
                <w:lang w:val="en-US"/>
              </w:rPr>
              <w:t>set by the Insurer or in case of bankruptcy of the buyer</w:t>
            </w:r>
            <w:r w:rsidR="00211670">
              <w:rPr>
                <w:rFonts w:ascii="Times New Roman" w:hAnsi="Times New Roman"/>
                <w:sz w:val="24"/>
                <w:szCs w:val="24"/>
                <w:lang w:val="en-US"/>
              </w:rPr>
              <w:t>.</w:t>
            </w:r>
          </w:p>
          <w:p w14:paraId="34611079" w14:textId="77777777" w:rsidR="00211670" w:rsidRDefault="00211670" w:rsidP="0078034B">
            <w:pPr>
              <w:pStyle w:val="ListParagraph"/>
              <w:tabs>
                <w:tab w:val="left" w:pos="851"/>
                <w:tab w:val="left" w:pos="993"/>
                <w:tab w:val="left" w:pos="1134"/>
              </w:tabs>
              <w:spacing w:after="0" w:line="240" w:lineRule="auto"/>
              <w:ind w:left="0"/>
              <w:jc w:val="both"/>
              <w:rPr>
                <w:rFonts w:ascii="Times New Roman" w:hAnsi="Times New Roman"/>
                <w:sz w:val="24"/>
                <w:szCs w:val="24"/>
                <w:lang w:val="en-US"/>
              </w:rPr>
            </w:pPr>
          </w:p>
          <w:p w14:paraId="7A911BA3" w14:textId="77777777" w:rsidR="0078034B" w:rsidRPr="00D57EB8" w:rsidRDefault="004E47A2" w:rsidP="0078034B">
            <w:pPr>
              <w:keepNext/>
              <w:autoSpaceDE w:val="0"/>
              <w:autoSpaceDN w:val="0"/>
              <w:spacing w:after="0" w:line="240" w:lineRule="auto"/>
              <w:contextualSpacing/>
              <w:jc w:val="both"/>
              <w:rPr>
                <w:rFonts w:ascii="Times New Roman" w:hAnsi="Times New Roman"/>
                <w:bCs/>
                <w:sz w:val="24"/>
                <w:szCs w:val="24"/>
                <w:lang w:val="en-US"/>
              </w:rPr>
            </w:pPr>
            <w:r>
              <w:rPr>
                <w:rFonts w:ascii="Times New Roman" w:hAnsi="Times New Roman"/>
                <w:bCs/>
                <w:sz w:val="24"/>
                <w:szCs w:val="24"/>
                <w:lang w:val="en-US"/>
              </w:rPr>
              <w:t xml:space="preserve">The loss consists of overdue debt and the costs of recovering overdue debt from third parties.  </w:t>
            </w:r>
          </w:p>
          <w:p w14:paraId="2BDE2B56" w14:textId="77777777" w:rsidR="0078034B" w:rsidRDefault="0078034B" w:rsidP="0078034B">
            <w:pPr>
              <w:keepNext/>
              <w:autoSpaceDE w:val="0"/>
              <w:autoSpaceDN w:val="0"/>
              <w:spacing w:after="0" w:line="240" w:lineRule="auto"/>
              <w:contextualSpacing/>
              <w:jc w:val="both"/>
              <w:rPr>
                <w:rFonts w:ascii="Times New Roman" w:hAnsi="Times New Roman"/>
                <w:sz w:val="24"/>
                <w:szCs w:val="24"/>
              </w:rPr>
            </w:pPr>
          </w:p>
          <w:p w14:paraId="4E0E8CAF" w14:textId="61E6AE9A" w:rsidR="0078034B" w:rsidRPr="0089613B" w:rsidRDefault="00587973" w:rsidP="0089613B">
            <w:pPr>
              <w:keepNext/>
              <w:autoSpaceDE w:val="0"/>
              <w:autoSpaceDN w:val="0"/>
              <w:spacing w:after="0" w:line="240" w:lineRule="auto"/>
              <w:contextualSpacing/>
              <w:jc w:val="both"/>
              <w:rPr>
                <w:rFonts w:ascii="Times New Roman" w:hAnsi="Times New Roman"/>
                <w:bCs/>
                <w:sz w:val="24"/>
                <w:szCs w:val="24"/>
              </w:rPr>
            </w:pPr>
            <w:r w:rsidRPr="00587973">
              <w:rPr>
                <w:rFonts w:ascii="Times New Roman" w:hAnsi="Times New Roman"/>
                <w:sz w:val="24"/>
                <w:szCs w:val="24"/>
                <w:lang w:val="en-US"/>
              </w:rPr>
              <w:t>The loss</w:t>
            </w:r>
            <w:r>
              <w:rPr>
                <w:rFonts w:ascii="Times New Roman" w:hAnsi="Times New Roman"/>
                <w:sz w:val="24"/>
                <w:szCs w:val="24"/>
                <w:lang w:val="en-US"/>
              </w:rPr>
              <w:t>es</w:t>
            </w:r>
            <w:r w:rsidRPr="00587973">
              <w:rPr>
                <w:rFonts w:ascii="Times New Roman" w:hAnsi="Times New Roman"/>
                <w:sz w:val="24"/>
                <w:szCs w:val="24"/>
                <w:lang w:val="en-US"/>
              </w:rPr>
              <w:t xml:space="preserve"> can be compensated </w:t>
            </w:r>
            <w:r>
              <w:rPr>
                <w:rFonts w:ascii="Times New Roman" w:hAnsi="Times New Roman"/>
                <w:sz w:val="24"/>
                <w:szCs w:val="24"/>
                <w:lang w:val="en-US"/>
              </w:rPr>
              <w:t>on</w:t>
            </w:r>
            <w:r w:rsidRPr="00587973">
              <w:rPr>
                <w:rFonts w:ascii="Times New Roman" w:hAnsi="Times New Roman"/>
                <w:sz w:val="24"/>
                <w:szCs w:val="24"/>
                <w:lang w:val="en-US"/>
              </w:rPr>
              <w:t xml:space="preserve"> </w:t>
            </w:r>
            <w:r w:rsidRPr="00587973">
              <w:rPr>
                <w:rFonts w:ascii="Times New Roman" w:hAnsi="Times New Roman"/>
                <w:sz w:val="24"/>
                <w:szCs w:val="24"/>
                <w:lang w:val="en-US"/>
              </w:rPr>
              <w:t>overdue debts</w:t>
            </w:r>
            <w:r>
              <w:rPr>
                <w:rFonts w:ascii="Times New Roman" w:hAnsi="Times New Roman"/>
                <w:sz w:val="24"/>
                <w:szCs w:val="24"/>
                <w:lang w:val="en-US"/>
              </w:rPr>
              <w:t xml:space="preserve">, </w:t>
            </w:r>
            <w:r w:rsidRPr="00587973">
              <w:rPr>
                <w:rFonts w:ascii="Times New Roman" w:hAnsi="Times New Roman"/>
                <w:sz w:val="24"/>
                <w:szCs w:val="24"/>
                <w:lang w:val="en-US"/>
              </w:rPr>
              <w:t>about which</w:t>
            </w:r>
            <w:r>
              <w:rPr>
                <w:rFonts w:ascii="Times New Roman" w:hAnsi="Times New Roman"/>
                <w:sz w:val="24"/>
                <w:szCs w:val="24"/>
                <w:lang w:val="en-US"/>
              </w:rPr>
              <w:t xml:space="preserve"> Insurer was</w:t>
            </w:r>
            <w:r w:rsidRPr="00587973">
              <w:rPr>
                <w:rFonts w:ascii="Times New Roman" w:hAnsi="Times New Roman"/>
                <w:sz w:val="24"/>
                <w:szCs w:val="24"/>
                <w:lang w:val="en-US"/>
              </w:rPr>
              <w:t xml:space="preserve"> </w:t>
            </w:r>
            <w:r>
              <w:rPr>
                <w:rFonts w:ascii="Times New Roman" w:hAnsi="Times New Roman"/>
                <w:sz w:val="24"/>
                <w:szCs w:val="24"/>
                <w:lang w:val="en-US"/>
              </w:rPr>
              <w:t>informed</w:t>
            </w:r>
            <w:r w:rsidRPr="00587973">
              <w:rPr>
                <w:rFonts w:ascii="Times New Roman" w:hAnsi="Times New Roman"/>
                <w:sz w:val="24"/>
                <w:szCs w:val="24"/>
                <w:lang w:val="en-US"/>
              </w:rPr>
              <w:t xml:space="preserve"> no earlier than </w:t>
            </w:r>
            <w:r>
              <w:rPr>
                <w:rFonts w:ascii="Times New Roman" w:hAnsi="Times New Roman"/>
                <w:sz w:val="24"/>
                <w:szCs w:val="24"/>
                <w:lang w:val="en-US"/>
              </w:rPr>
              <w:t>1 March 2020</w:t>
            </w:r>
            <w:r>
              <w:rPr>
                <w:rFonts w:ascii="Times New Roman" w:hAnsi="Times New Roman"/>
                <w:sz w:val="24"/>
                <w:szCs w:val="24"/>
                <w:lang w:val="en-US"/>
              </w:rPr>
              <w:t xml:space="preserve">. </w:t>
            </w:r>
            <w:proofErr w:type="spellStart"/>
            <w:r w:rsidR="00940B27" w:rsidRPr="00940B27">
              <w:rPr>
                <w:rFonts w:ascii="Times New Roman" w:hAnsi="Times New Roman"/>
                <w:sz w:val="24"/>
                <w:szCs w:val="24"/>
              </w:rPr>
              <w:t>The</w:t>
            </w:r>
            <w:proofErr w:type="spellEnd"/>
            <w:r w:rsidR="00940B27" w:rsidRPr="00940B27">
              <w:rPr>
                <w:rFonts w:ascii="Times New Roman" w:hAnsi="Times New Roman"/>
                <w:sz w:val="24"/>
                <w:szCs w:val="24"/>
              </w:rPr>
              <w:t xml:space="preserve"> </w:t>
            </w:r>
            <w:proofErr w:type="spellStart"/>
            <w:r w:rsidR="00940B27" w:rsidRPr="00940B27">
              <w:rPr>
                <w:rFonts w:ascii="Times New Roman" w:hAnsi="Times New Roman"/>
                <w:sz w:val="24"/>
                <w:szCs w:val="24"/>
              </w:rPr>
              <w:t>latest</w:t>
            </w:r>
            <w:proofErr w:type="spellEnd"/>
            <w:r w:rsidR="00940B27" w:rsidRPr="00940B27">
              <w:rPr>
                <w:rFonts w:ascii="Times New Roman" w:hAnsi="Times New Roman"/>
                <w:sz w:val="24"/>
                <w:szCs w:val="24"/>
              </w:rPr>
              <w:t xml:space="preserve"> </w:t>
            </w:r>
            <w:proofErr w:type="spellStart"/>
            <w:r w:rsidR="00940B27" w:rsidRPr="00940B27">
              <w:rPr>
                <w:rFonts w:ascii="Times New Roman" w:hAnsi="Times New Roman"/>
                <w:sz w:val="24"/>
                <w:szCs w:val="24"/>
              </w:rPr>
              <w:t>date</w:t>
            </w:r>
            <w:proofErr w:type="spellEnd"/>
            <w:r w:rsidR="00940B27" w:rsidRPr="00940B27">
              <w:rPr>
                <w:rFonts w:ascii="Times New Roman" w:hAnsi="Times New Roman"/>
                <w:sz w:val="24"/>
                <w:szCs w:val="24"/>
              </w:rPr>
              <w:t xml:space="preserve"> </w:t>
            </w:r>
            <w:proofErr w:type="spellStart"/>
            <w:r w:rsidR="00940B27" w:rsidRPr="00940B27">
              <w:rPr>
                <w:rFonts w:ascii="Times New Roman" w:hAnsi="Times New Roman"/>
                <w:sz w:val="24"/>
                <w:szCs w:val="24"/>
              </w:rPr>
              <w:t>by</w:t>
            </w:r>
            <w:proofErr w:type="spellEnd"/>
            <w:r w:rsidR="00940B27" w:rsidRPr="00940B27">
              <w:rPr>
                <w:rFonts w:ascii="Times New Roman" w:hAnsi="Times New Roman"/>
                <w:sz w:val="24"/>
                <w:szCs w:val="24"/>
              </w:rPr>
              <w:t xml:space="preserve"> </w:t>
            </w:r>
            <w:proofErr w:type="spellStart"/>
            <w:r w:rsidR="00940B27" w:rsidRPr="00940B27">
              <w:rPr>
                <w:rFonts w:ascii="Times New Roman" w:hAnsi="Times New Roman"/>
                <w:sz w:val="24"/>
                <w:szCs w:val="24"/>
              </w:rPr>
              <w:t>which</w:t>
            </w:r>
            <w:proofErr w:type="spellEnd"/>
            <w:r w:rsidR="00940B27" w:rsidRPr="00940B27">
              <w:rPr>
                <w:rFonts w:ascii="Times New Roman" w:hAnsi="Times New Roman"/>
                <w:sz w:val="24"/>
                <w:szCs w:val="24"/>
              </w:rPr>
              <w:t xml:space="preserve"> </w:t>
            </w:r>
            <w:proofErr w:type="spellStart"/>
            <w:r w:rsidR="00940B27" w:rsidRPr="00940B27">
              <w:rPr>
                <w:rFonts w:ascii="Times New Roman" w:hAnsi="Times New Roman"/>
                <w:sz w:val="24"/>
                <w:szCs w:val="24"/>
              </w:rPr>
              <w:t>losses</w:t>
            </w:r>
            <w:proofErr w:type="spellEnd"/>
            <w:r w:rsidR="00940B27" w:rsidRPr="00940B27">
              <w:rPr>
                <w:rFonts w:ascii="Times New Roman" w:hAnsi="Times New Roman"/>
                <w:sz w:val="24"/>
                <w:szCs w:val="24"/>
              </w:rPr>
              <w:t xml:space="preserve"> </w:t>
            </w:r>
            <w:proofErr w:type="spellStart"/>
            <w:r w:rsidR="00940B27" w:rsidRPr="00940B27">
              <w:rPr>
                <w:rFonts w:ascii="Times New Roman" w:hAnsi="Times New Roman"/>
                <w:sz w:val="24"/>
                <w:szCs w:val="24"/>
              </w:rPr>
              <w:t>can</w:t>
            </w:r>
            <w:proofErr w:type="spellEnd"/>
            <w:r w:rsidR="00940B27" w:rsidRPr="00940B27">
              <w:rPr>
                <w:rFonts w:ascii="Times New Roman" w:hAnsi="Times New Roman"/>
                <w:sz w:val="24"/>
                <w:szCs w:val="24"/>
              </w:rPr>
              <w:t xml:space="preserve"> be </w:t>
            </w:r>
            <w:proofErr w:type="spellStart"/>
            <w:r w:rsidR="00940B27" w:rsidRPr="00940B27">
              <w:rPr>
                <w:rFonts w:ascii="Times New Roman" w:hAnsi="Times New Roman"/>
                <w:sz w:val="24"/>
                <w:szCs w:val="24"/>
              </w:rPr>
              <w:t>covered</w:t>
            </w:r>
            <w:proofErr w:type="spellEnd"/>
            <w:r w:rsidR="00940B27" w:rsidRPr="00940B27">
              <w:rPr>
                <w:rFonts w:ascii="Times New Roman" w:hAnsi="Times New Roman"/>
                <w:sz w:val="24"/>
                <w:szCs w:val="24"/>
              </w:rPr>
              <w:t xml:space="preserve"> </w:t>
            </w:r>
            <w:proofErr w:type="spellStart"/>
            <w:r w:rsidR="00B90526">
              <w:rPr>
                <w:rFonts w:ascii="Times New Roman" w:hAnsi="Times New Roman"/>
                <w:sz w:val="24"/>
                <w:szCs w:val="24"/>
              </w:rPr>
              <w:t>is</w:t>
            </w:r>
            <w:proofErr w:type="spellEnd"/>
            <w:r w:rsidR="00B90526">
              <w:rPr>
                <w:rFonts w:ascii="Times New Roman" w:hAnsi="Times New Roman"/>
                <w:sz w:val="24"/>
                <w:szCs w:val="24"/>
              </w:rPr>
              <w:t xml:space="preserve"> </w:t>
            </w:r>
            <w:r w:rsidR="004E47A2">
              <w:rPr>
                <w:rFonts w:ascii="Times New Roman" w:hAnsi="Times New Roman"/>
                <w:sz w:val="24"/>
                <w:szCs w:val="24"/>
                <w:lang w:val="en-US"/>
              </w:rPr>
              <w:t>31 December 202</w:t>
            </w:r>
            <w:r w:rsidR="00B90526">
              <w:rPr>
                <w:rFonts w:ascii="Times New Roman" w:hAnsi="Times New Roman"/>
                <w:sz w:val="24"/>
                <w:szCs w:val="24"/>
                <w:lang w:val="en-US"/>
              </w:rPr>
              <w:t>4</w:t>
            </w:r>
          </w:p>
        </w:tc>
      </w:tr>
      <w:tr w:rsidR="00796B74" w14:paraId="168DA756" w14:textId="77777777" w:rsidTr="00DA4696">
        <w:tc>
          <w:tcPr>
            <w:tcW w:w="2853" w:type="dxa"/>
            <w:tcBorders>
              <w:bottom w:val="single" w:sz="4" w:space="0" w:color="000000"/>
            </w:tcBorders>
          </w:tcPr>
          <w:p w14:paraId="41FF2F20" w14:textId="4A39243F" w:rsidR="00CE285C" w:rsidRPr="00D87C94" w:rsidRDefault="00A43AA4" w:rsidP="00CE285C">
            <w:pPr>
              <w:autoSpaceDE w:val="0"/>
              <w:autoSpaceDN w:val="0"/>
              <w:spacing w:after="0" w:line="240" w:lineRule="auto"/>
              <w:contextualSpacing/>
              <w:jc w:val="both"/>
              <w:rPr>
                <w:rFonts w:ascii="Times New Roman" w:hAnsi="Times New Roman"/>
                <w:b/>
                <w:sz w:val="24"/>
                <w:szCs w:val="24"/>
              </w:rPr>
            </w:pPr>
            <w:r>
              <w:rPr>
                <w:rFonts w:ascii="Times New Roman" w:hAnsi="Times New Roman"/>
                <w:b/>
                <w:sz w:val="24"/>
                <w:szCs w:val="24"/>
                <w:lang w:val="en-US"/>
              </w:rPr>
              <w:t xml:space="preserve">Indemnification </w:t>
            </w:r>
          </w:p>
        </w:tc>
        <w:tc>
          <w:tcPr>
            <w:tcW w:w="6894" w:type="dxa"/>
            <w:tcBorders>
              <w:bottom w:val="single" w:sz="4" w:space="0" w:color="000000"/>
            </w:tcBorders>
          </w:tcPr>
          <w:p w14:paraId="75BFB8C3" w14:textId="0D3068D9" w:rsidR="004E41E0" w:rsidRPr="00723ED4" w:rsidRDefault="004E47A2" w:rsidP="004E41E0">
            <w:pPr>
              <w:pStyle w:val="ListParagraph"/>
              <w:tabs>
                <w:tab w:val="left" w:pos="851"/>
              </w:tabs>
              <w:spacing w:after="0" w:line="240" w:lineRule="auto"/>
              <w:ind w:left="0"/>
              <w:jc w:val="both"/>
              <w:rPr>
                <w:rFonts w:ascii="Times New Roman" w:hAnsi="Times New Roman"/>
                <w:sz w:val="24"/>
                <w:szCs w:val="24"/>
              </w:rPr>
            </w:pPr>
            <w:r>
              <w:rPr>
                <w:rFonts w:ascii="Times New Roman" w:hAnsi="Times New Roman"/>
                <w:sz w:val="24"/>
                <w:szCs w:val="24"/>
                <w:lang w:val="en-US"/>
              </w:rPr>
              <w:t xml:space="preserve">The guaranteed part of the loss paid by Invega to the manager of the TCIPG </w:t>
            </w:r>
            <w:r w:rsidR="003F2A4B">
              <w:rPr>
                <w:rFonts w:ascii="Times New Roman" w:hAnsi="Times New Roman"/>
                <w:sz w:val="24"/>
                <w:szCs w:val="24"/>
                <w:lang w:val="en-US"/>
              </w:rPr>
              <w:t>instrument</w:t>
            </w:r>
            <w:r>
              <w:rPr>
                <w:rFonts w:ascii="Times New Roman" w:hAnsi="Times New Roman"/>
                <w:sz w:val="24"/>
                <w:szCs w:val="24"/>
                <w:lang w:val="en-US"/>
              </w:rPr>
              <w:t xml:space="preserve">.  </w:t>
            </w:r>
          </w:p>
          <w:p w14:paraId="571FFE62" w14:textId="77777777" w:rsidR="004E41E0" w:rsidRDefault="004E41E0" w:rsidP="00CE285C">
            <w:pPr>
              <w:keepNext/>
              <w:autoSpaceDE w:val="0"/>
              <w:autoSpaceDN w:val="0"/>
              <w:spacing w:after="0" w:line="240" w:lineRule="auto"/>
              <w:contextualSpacing/>
              <w:jc w:val="both"/>
              <w:rPr>
                <w:rFonts w:ascii="Times New Roman" w:hAnsi="Times New Roman"/>
                <w:sz w:val="24"/>
                <w:szCs w:val="24"/>
              </w:rPr>
            </w:pPr>
          </w:p>
          <w:p w14:paraId="016EE506" w14:textId="291DAD0B" w:rsidR="00CE285C" w:rsidRPr="00D87C94" w:rsidRDefault="004E47A2" w:rsidP="00CE285C">
            <w:pPr>
              <w:keepNext/>
              <w:autoSpaceDE w:val="0"/>
              <w:autoSpaceDN w:val="0"/>
              <w:spacing w:after="0" w:line="240" w:lineRule="auto"/>
              <w:contextualSpacing/>
              <w:jc w:val="both"/>
              <w:rPr>
                <w:rFonts w:ascii="Times New Roman" w:hAnsi="Times New Roman"/>
                <w:sz w:val="24"/>
                <w:szCs w:val="24"/>
              </w:rPr>
            </w:pPr>
            <w:r w:rsidRPr="00D87C94">
              <w:rPr>
                <w:rFonts w:ascii="Times New Roman" w:hAnsi="Times New Roman"/>
                <w:sz w:val="24"/>
                <w:szCs w:val="24"/>
                <w:lang w:val="en-US"/>
              </w:rPr>
              <w:t xml:space="preserve">After covering the losses of the Policyholders, the manager of the TCIPG </w:t>
            </w:r>
            <w:r w:rsidR="003F2A4B">
              <w:rPr>
                <w:rFonts w:ascii="Times New Roman" w:hAnsi="Times New Roman"/>
                <w:sz w:val="24"/>
                <w:szCs w:val="24"/>
                <w:lang w:val="en-US"/>
              </w:rPr>
              <w:t>instrument</w:t>
            </w:r>
            <w:r w:rsidRPr="00D87C94">
              <w:rPr>
                <w:rFonts w:ascii="Times New Roman" w:hAnsi="Times New Roman"/>
                <w:sz w:val="24"/>
                <w:szCs w:val="24"/>
                <w:lang w:val="en-US"/>
              </w:rPr>
              <w:t xml:space="preserve"> may apply to Invega for the </w:t>
            </w:r>
            <w:r w:rsidR="00A43AA4">
              <w:rPr>
                <w:rFonts w:ascii="Times New Roman" w:hAnsi="Times New Roman"/>
                <w:sz w:val="24"/>
                <w:szCs w:val="24"/>
                <w:lang w:val="en-US"/>
              </w:rPr>
              <w:t>indemnification</w:t>
            </w:r>
            <w:r w:rsidR="00A43AA4" w:rsidRPr="00D87C94">
              <w:rPr>
                <w:rFonts w:ascii="Times New Roman" w:hAnsi="Times New Roman"/>
                <w:sz w:val="24"/>
                <w:szCs w:val="24"/>
                <w:lang w:val="en-US"/>
              </w:rPr>
              <w:t xml:space="preserve"> </w:t>
            </w:r>
            <w:r w:rsidRPr="00D87C94">
              <w:rPr>
                <w:rFonts w:ascii="Times New Roman" w:hAnsi="Times New Roman"/>
                <w:sz w:val="24"/>
                <w:szCs w:val="24"/>
                <w:lang w:val="en-US"/>
              </w:rPr>
              <w:t xml:space="preserve">once a month.  </w:t>
            </w:r>
          </w:p>
          <w:p w14:paraId="1654CE7B" w14:textId="77777777" w:rsidR="00656C23" w:rsidRPr="00D87C94" w:rsidRDefault="00656C23" w:rsidP="00CE285C">
            <w:pPr>
              <w:keepNext/>
              <w:autoSpaceDE w:val="0"/>
              <w:autoSpaceDN w:val="0"/>
              <w:spacing w:after="0" w:line="240" w:lineRule="auto"/>
              <w:contextualSpacing/>
              <w:jc w:val="both"/>
              <w:rPr>
                <w:rFonts w:ascii="Times New Roman" w:hAnsi="Times New Roman"/>
                <w:sz w:val="24"/>
                <w:szCs w:val="24"/>
              </w:rPr>
            </w:pPr>
          </w:p>
          <w:p w14:paraId="6B64D6B4" w14:textId="73ECB16E" w:rsidR="00CE285C" w:rsidRPr="00D87C94" w:rsidRDefault="004E47A2" w:rsidP="00D87C94">
            <w:pPr>
              <w:keepNext/>
              <w:autoSpaceDE w:val="0"/>
              <w:autoSpaceDN w:val="0"/>
              <w:spacing w:after="0" w:line="240" w:lineRule="auto"/>
              <w:contextualSpacing/>
              <w:jc w:val="both"/>
              <w:rPr>
                <w:rFonts w:ascii="Times New Roman" w:hAnsi="Times New Roman"/>
                <w:sz w:val="24"/>
                <w:szCs w:val="24"/>
              </w:rPr>
            </w:pPr>
            <w:r w:rsidRPr="00D87C94">
              <w:rPr>
                <w:rFonts w:ascii="Times New Roman" w:hAnsi="Times New Roman"/>
                <w:sz w:val="24"/>
                <w:szCs w:val="24"/>
                <w:lang w:val="en-US"/>
              </w:rPr>
              <w:t xml:space="preserve">When the TCIPG manager applies for loss coverage, the loss shall be covered within 30 calendar days from the date of receipt of the original document sent by e-mail </w:t>
            </w:r>
            <w:r w:rsidR="006E50F2">
              <w:rPr>
                <w:rFonts w:ascii="Times New Roman" w:hAnsi="Times New Roman"/>
                <w:sz w:val="24"/>
                <w:szCs w:val="24"/>
                <w:lang w:val="en-US"/>
              </w:rPr>
              <w:t>to</w:t>
            </w:r>
            <w:r w:rsidRPr="00D87C94">
              <w:rPr>
                <w:rFonts w:ascii="Times New Roman" w:hAnsi="Times New Roman"/>
                <w:sz w:val="24"/>
                <w:szCs w:val="24"/>
                <w:lang w:val="en-US"/>
              </w:rPr>
              <w:t xml:space="preserve"> Invega</w:t>
            </w:r>
          </w:p>
        </w:tc>
      </w:tr>
      <w:tr w:rsidR="00796B74" w14:paraId="76276B1F" w14:textId="77777777" w:rsidTr="00DA4696">
        <w:tc>
          <w:tcPr>
            <w:tcW w:w="2853" w:type="dxa"/>
            <w:tcBorders>
              <w:bottom w:val="single" w:sz="4" w:space="0" w:color="000000"/>
            </w:tcBorders>
          </w:tcPr>
          <w:p w14:paraId="5359501A" w14:textId="77777777" w:rsidR="00CE285C" w:rsidRPr="000B466E" w:rsidRDefault="004E47A2" w:rsidP="001C575D">
            <w:pPr>
              <w:autoSpaceDE w:val="0"/>
              <w:autoSpaceDN w:val="0"/>
              <w:spacing w:after="0" w:line="240" w:lineRule="auto"/>
              <w:contextualSpacing/>
              <w:rPr>
                <w:rFonts w:ascii="Times New Roman" w:hAnsi="Times New Roman"/>
                <w:b/>
                <w:sz w:val="24"/>
                <w:szCs w:val="24"/>
              </w:rPr>
            </w:pPr>
            <w:r w:rsidRPr="000B466E">
              <w:rPr>
                <w:rFonts w:ascii="Times New Roman" w:hAnsi="Times New Roman"/>
                <w:b/>
                <w:sz w:val="24"/>
                <w:szCs w:val="24"/>
                <w:lang w:val="en-US"/>
              </w:rPr>
              <w:t>Insurance portfolio maintenance and debt collection</w:t>
            </w:r>
          </w:p>
        </w:tc>
        <w:tc>
          <w:tcPr>
            <w:tcW w:w="6894" w:type="dxa"/>
            <w:tcBorders>
              <w:bottom w:val="single" w:sz="4" w:space="0" w:color="000000"/>
            </w:tcBorders>
          </w:tcPr>
          <w:p w14:paraId="0185695B" w14:textId="231C651B" w:rsidR="00FD72E7" w:rsidRPr="000B466E" w:rsidRDefault="004E47A2">
            <w:pPr>
              <w:keepNext/>
              <w:autoSpaceDE w:val="0"/>
              <w:autoSpaceDN w:val="0"/>
              <w:spacing w:before="240" w:after="0" w:line="240" w:lineRule="auto"/>
              <w:contextualSpacing/>
              <w:jc w:val="both"/>
              <w:rPr>
                <w:rFonts w:ascii="Times New Roman" w:hAnsi="Times New Roman"/>
                <w:sz w:val="24"/>
                <w:szCs w:val="24"/>
              </w:rPr>
            </w:pPr>
            <w:r w:rsidRPr="000B466E">
              <w:rPr>
                <w:rFonts w:ascii="Times New Roman" w:hAnsi="Times New Roman"/>
                <w:sz w:val="24"/>
                <w:szCs w:val="24"/>
                <w:lang w:val="en-US"/>
              </w:rPr>
              <w:t xml:space="preserve">The TCIPG </w:t>
            </w:r>
            <w:r w:rsidR="003F2A4B">
              <w:rPr>
                <w:rFonts w:ascii="Times New Roman" w:hAnsi="Times New Roman"/>
                <w:sz w:val="24"/>
                <w:szCs w:val="24"/>
                <w:lang w:val="en-US"/>
              </w:rPr>
              <w:t>instrument</w:t>
            </w:r>
            <w:r w:rsidRPr="000B466E">
              <w:rPr>
                <w:rFonts w:ascii="Times New Roman" w:hAnsi="Times New Roman"/>
                <w:sz w:val="24"/>
                <w:szCs w:val="24"/>
                <w:lang w:val="en-US"/>
              </w:rPr>
              <w:t xml:space="preserve"> manager shall maintain, monitor and collect and/or recover debts of the Insurance </w:t>
            </w:r>
            <w:r w:rsidR="0043291D">
              <w:rPr>
                <w:rFonts w:ascii="Times New Roman" w:hAnsi="Times New Roman"/>
                <w:sz w:val="24"/>
                <w:szCs w:val="24"/>
                <w:lang w:val="en-US"/>
              </w:rPr>
              <w:t>p</w:t>
            </w:r>
            <w:r w:rsidRPr="000B466E">
              <w:rPr>
                <w:rFonts w:ascii="Times New Roman" w:hAnsi="Times New Roman"/>
                <w:sz w:val="24"/>
                <w:szCs w:val="24"/>
                <w:lang w:val="en-US"/>
              </w:rPr>
              <w:t xml:space="preserve">ortfolio. Debt collection and/or recovery shall be carried out by the TCIPG </w:t>
            </w:r>
            <w:r w:rsidR="003F2A4B">
              <w:rPr>
                <w:rFonts w:ascii="Times New Roman" w:hAnsi="Times New Roman"/>
                <w:sz w:val="24"/>
                <w:szCs w:val="24"/>
                <w:lang w:val="en-US"/>
              </w:rPr>
              <w:t>instrument</w:t>
            </w:r>
            <w:r w:rsidRPr="000B466E">
              <w:rPr>
                <w:rFonts w:ascii="Times New Roman" w:hAnsi="Times New Roman"/>
                <w:sz w:val="24"/>
                <w:szCs w:val="24"/>
                <w:lang w:val="en-US"/>
              </w:rPr>
              <w:t xml:space="preserve"> manager in accordance with its internal policies and procedures. Upon receipt of the </w:t>
            </w:r>
            <w:r w:rsidR="00A43AA4">
              <w:rPr>
                <w:rFonts w:ascii="Times New Roman" w:hAnsi="Times New Roman"/>
                <w:sz w:val="24"/>
                <w:szCs w:val="24"/>
                <w:lang w:val="en-US"/>
              </w:rPr>
              <w:t>indemnification</w:t>
            </w:r>
            <w:r w:rsidRPr="000B466E">
              <w:rPr>
                <w:rFonts w:ascii="Times New Roman" w:hAnsi="Times New Roman"/>
                <w:sz w:val="24"/>
                <w:szCs w:val="24"/>
                <w:lang w:val="en-US"/>
              </w:rPr>
              <w:t xml:space="preserve">, the TCIPG </w:t>
            </w:r>
            <w:r w:rsidR="003F2A4B">
              <w:rPr>
                <w:rFonts w:ascii="Times New Roman" w:hAnsi="Times New Roman"/>
                <w:sz w:val="24"/>
                <w:szCs w:val="24"/>
                <w:lang w:val="en-US"/>
              </w:rPr>
              <w:t>instrument</w:t>
            </w:r>
            <w:r w:rsidRPr="000B466E">
              <w:rPr>
                <w:rFonts w:ascii="Times New Roman" w:hAnsi="Times New Roman"/>
                <w:sz w:val="24"/>
                <w:szCs w:val="24"/>
                <w:lang w:val="en-US"/>
              </w:rPr>
              <w:t xml:space="preserve"> manager must make every effort to recover the debt. The manager of the TCIPG </w:t>
            </w:r>
            <w:r w:rsidR="003F2A4B">
              <w:rPr>
                <w:rFonts w:ascii="Times New Roman" w:hAnsi="Times New Roman"/>
                <w:sz w:val="24"/>
                <w:szCs w:val="24"/>
                <w:lang w:val="en-US"/>
              </w:rPr>
              <w:t>instrument</w:t>
            </w:r>
            <w:r w:rsidRPr="000B466E">
              <w:rPr>
                <w:rFonts w:ascii="Times New Roman" w:hAnsi="Times New Roman"/>
                <w:sz w:val="24"/>
                <w:szCs w:val="24"/>
                <w:lang w:val="en-US"/>
              </w:rPr>
              <w:t xml:space="preserve"> shall collect and/or recover all the debt incurred under the Insurance </w:t>
            </w:r>
            <w:r w:rsidR="0043291D">
              <w:rPr>
                <w:rFonts w:ascii="Times New Roman" w:hAnsi="Times New Roman"/>
                <w:sz w:val="24"/>
                <w:szCs w:val="24"/>
                <w:lang w:val="en-US"/>
              </w:rPr>
              <w:t>c</w:t>
            </w:r>
            <w:r w:rsidRPr="000B466E">
              <w:rPr>
                <w:rFonts w:ascii="Times New Roman" w:hAnsi="Times New Roman"/>
                <w:sz w:val="24"/>
                <w:szCs w:val="24"/>
                <w:lang w:val="en-US"/>
              </w:rPr>
              <w:t xml:space="preserve">ontract, regardless of the received </w:t>
            </w:r>
            <w:r w:rsidR="00587973">
              <w:rPr>
                <w:rFonts w:ascii="Times New Roman" w:hAnsi="Times New Roman"/>
                <w:sz w:val="24"/>
                <w:szCs w:val="24"/>
                <w:lang w:val="en-US"/>
              </w:rPr>
              <w:t>I</w:t>
            </w:r>
            <w:r w:rsidR="00A43AA4">
              <w:rPr>
                <w:rFonts w:ascii="Times New Roman" w:hAnsi="Times New Roman"/>
                <w:sz w:val="24"/>
                <w:szCs w:val="24"/>
                <w:lang w:val="en-US"/>
              </w:rPr>
              <w:t>ndemnification</w:t>
            </w:r>
            <w:r w:rsidRPr="000B466E">
              <w:rPr>
                <w:rFonts w:ascii="Times New Roman" w:hAnsi="Times New Roman"/>
                <w:sz w:val="24"/>
                <w:szCs w:val="24"/>
                <w:lang w:val="en-US"/>
              </w:rPr>
              <w:t xml:space="preserve">. </w:t>
            </w:r>
            <w:r w:rsidR="00302EC2" w:rsidRPr="004419DA">
              <w:rPr>
                <w:rFonts w:ascii="Times New Roman" w:hAnsi="Times New Roman"/>
                <w:sz w:val="24"/>
                <w:szCs w:val="24"/>
                <w:lang w:val="en-US"/>
              </w:rPr>
              <w:t xml:space="preserve">After the TCIPG manager has </w:t>
            </w:r>
            <w:r w:rsidRPr="004419DA">
              <w:rPr>
                <w:rFonts w:ascii="Times New Roman" w:hAnsi="Times New Roman"/>
                <w:sz w:val="24"/>
                <w:szCs w:val="24"/>
                <w:lang w:val="en-US"/>
              </w:rPr>
              <w:t>collect</w:t>
            </w:r>
            <w:r w:rsidR="00302EC2" w:rsidRPr="004419DA">
              <w:rPr>
                <w:rFonts w:ascii="Times New Roman" w:hAnsi="Times New Roman"/>
                <w:sz w:val="24"/>
                <w:szCs w:val="24"/>
                <w:lang w:val="en-US"/>
              </w:rPr>
              <w:t>ed</w:t>
            </w:r>
            <w:r w:rsidRPr="004419DA">
              <w:rPr>
                <w:rFonts w:ascii="Times New Roman" w:hAnsi="Times New Roman"/>
                <w:sz w:val="24"/>
                <w:szCs w:val="24"/>
                <w:lang w:val="en-US"/>
              </w:rPr>
              <w:t xml:space="preserve"> and/or recover</w:t>
            </w:r>
            <w:r w:rsidR="00302EC2" w:rsidRPr="004419DA">
              <w:rPr>
                <w:rFonts w:ascii="Times New Roman" w:hAnsi="Times New Roman"/>
                <w:sz w:val="24"/>
                <w:szCs w:val="24"/>
                <w:lang w:val="en-US"/>
              </w:rPr>
              <w:t>ed</w:t>
            </w:r>
            <w:r w:rsidRPr="004419DA">
              <w:rPr>
                <w:rFonts w:ascii="Times New Roman" w:hAnsi="Times New Roman"/>
                <w:sz w:val="24"/>
                <w:szCs w:val="24"/>
                <w:lang w:val="en-US"/>
              </w:rPr>
              <w:t xml:space="preserve"> the debt for which the </w:t>
            </w:r>
            <w:r w:rsidR="00302EC2" w:rsidRPr="004419DA">
              <w:rPr>
                <w:rFonts w:ascii="Times New Roman" w:hAnsi="Times New Roman"/>
                <w:sz w:val="24"/>
                <w:szCs w:val="24"/>
                <w:lang w:val="en-US"/>
              </w:rPr>
              <w:t>p</w:t>
            </w:r>
            <w:r w:rsidRPr="004419DA">
              <w:rPr>
                <w:rFonts w:ascii="Times New Roman" w:hAnsi="Times New Roman"/>
                <w:sz w:val="24"/>
                <w:szCs w:val="24"/>
                <w:lang w:val="en-US"/>
              </w:rPr>
              <w:t>ayment was made</w:t>
            </w:r>
            <w:r w:rsidR="00302EC2" w:rsidRPr="004419DA">
              <w:rPr>
                <w:rFonts w:ascii="Times New Roman" w:hAnsi="Times New Roman"/>
                <w:sz w:val="24"/>
                <w:szCs w:val="24"/>
                <w:lang w:val="en-US"/>
              </w:rPr>
              <w:t xml:space="preserve"> and after </w:t>
            </w:r>
            <w:r w:rsidRPr="004419DA">
              <w:rPr>
                <w:rFonts w:ascii="Times New Roman" w:hAnsi="Times New Roman"/>
                <w:sz w:val="24"/>
                <w:szCs w:val="24"/>
                <w:lang w:val="en-US"/>
              </w:rPr>
              <w:t xml:space="preserve">the recovery costs (only the recovery costs actually paid by the TCIPG </w:t>
            </w:r>
            <w:r w:rsidR="003F2A4B" w:rsidRPr="004419DA">
              <w:rPr>
                <w:rFonts w:ascii="Times New Roman" w:hAnsi="Times New Roman"/>
                <w:sz w:val="24"/>
                <w:szCs w:val="24"/>
                <w:lang w:val="en-US"/>
              </w:rPr>
              <w:t>instrument</w:t>
            </w:r>
            <w:r w:rsidRPr="004419DA">
              <w:rPr>
                <w:rFonts w:ascii="Times New Roman" w:hAnsi="Times New Roman"/>
                <w:sz w:val="24"/>
                <w:szCs w:val="24"/>
                <w:lang w:val="en-US"/>
              </w:rPr>
              <w:t xml:space="preserve"> manager to third parties are subtracted)</w:t>
            </w:r>
            <w:r w:rsidR="00302EC2" w:rsidRPr="004419DA">
              <w:rPr>
                <w:rFonts w:ascii="Times New Roman" w:hAnsi="Times New Roman"/>
                <w:sz w:val="24"/>
                <w:szCs w:val="24"/>
                <w:lang w:val="en-US"/>
              </w:rPr>
              <w:t xml:space="preserve"> have been subtracted</w:t>
            </w:r>
            <w:r w:rsidR="003A5109" w:rsidRPr="004419DA">
              <w:rPr>
                <w:rFonts w:ascii="Times New Roman" w:hAnsi="Times New Roman"/>
                <w:sz w:val="24"/>
                <w:szCs w:val="24"/>
                <w:lang w:val="en-US"/>
              </w:rPr>
              <w:t xml:space="preserve">, the </w:t>
            </w:r>
            <w:r w:rsidR="00ED0800" w:rsidRPr="004419DA">
              <w:rPr>
                <w:rFonts w:ascii="Times New Roman" w:hAnsi="Times New Roman"/>
                <w:sz w:val="24"/>
                <w:szCs w:val="24"/>
                <w:lang w:val="en-US"/>
              </w:rPr>
              <w:t>remaining</w:t>
            </w:r>
            <w:r w:rsidR="003A5109" w:rsidRPr="004419DA">
              <w:rPr>
                <w:rFonts w:ascii="Times New Roman" w:hAnsi="Times New Roman"/>
                <w:sz w:val="24"/>
                <w:szCs w:val="24"/>
                <w:lang w:val="en-US"/>
              </w:rPr>
              <w:t xml:space="preserve"> amount shall be transfer</w:t>
            </w:r>
            <w:r w:rsidR="00ED0800" w:rsidRPr="004419DA">
              <w:rPr>
                <w:rFonts w:ascii="Times New Roman" w:hAnsi="Times New Roman"/>
                <w:sz w:val="24"/>
                <w:szCs w:val="24"/>
                <w:lang w:val="en-US"/>
              </w:rPr>
              <w:t>r</w:t>
            </w:r>
            <w:r w:rsidR="003A5109" w:rsidRPr="004419DA">
              <w:rPr>
                <w:rFonts w:ascii="Times New Roman" w:hAnsi="Times New Roman"/>
                <w:sz w:val="24"/>
                <w:szCs w:val="24"/>
                <w:lang w:val="en-US"/>
              </w:rPr>
              <w:t xml:space="preserve">ed to the INVEGA </w:t>
            </w:r>
            <w:r w:rsidR="001C575D">
              <w:rPr>
                <w:rFonts w:ascii="Times New Roman" w:hAnsi="Times New Roman"/>
                <w:sz w:val="24"/>
                <w:szCs w:val="24"/>
                <w:lang w:val="en-US"/>
              </w:rPr>
              <w:t>f</w:t>
            </w:r>
            <w:r w:rsidR="003A5109" w:rsidRPr="004419DA">
              <w:rPr>
                <w:rFonts w:ascii="Times New Roman" w:hAnsi="Times New Roman"/>
                <w:sz w:val="24"/>
                <w:szCs w:val="24"/>
                <w:lang w:val="en-US"/>
              </w:rPr>
              <w:t>und</w:t>
            </w:r>
            <w:r w:rsidRPr="004419DA">
              <w:rPr>
                <w:rFonts w:ascii="Times New Roman" w:hAnsi="Times New Roman"/>
                <w:sz w:val="24"/>
                <w:szCs w:val="24"/>
                <w:lang w:val="en-US"/>
              </w:rPr>
              <w:t>.</w:t>
            </w:r>
            <w:r w:rsidRPr="000B466E">
              <w:rPr>
                <w:rFonts w:ascii="Times New Roman" w:hAnsi="Times New Roman"/>
                <w:sz w:val="24"/>
                <w:szCs w:val="24"/>
                <w:lang w:val="en-US"/>
              </w:rPr>
              <w:t xml:space="preserve"> </w:t>
            </w:r>
            <w:r w:rsidR="003A5109" w:rsidRPr="003A5109">
              <w:rPr>
                <w:rFonts w:ascii="Times New Roman" w:hAnsi="Times New Roman"/>
                <w:sz w:val="24"/>
                <w:szCs w:val="24"/>
                <w:lang w:val="en-US"/>
              </w:rPr>
              <w:t xml:space="preserve">This amount returned to the INVEGA </w:t>
            </w:r>
            <w:r w:rsidR="001C575D">
              <w:rPr>
                <w:rFonts w:ascii="Times New Roman" w:hAnsi="Times New Roman"/>
                <w:sz w:val="24"/>
                <w:szCs w:val="24"/>
                <w:lang w:val="en-US"/>
              </w:rPr>
              <w:t>f</w:t>
            </w:r>
            <w:r w:rsidR="003A5109" w:rsidRPr="003A5109">
              <w:rPr>
                <w:rFonts w:ascii="Times New Roman" w:hAnsi="Times New Roman"/>
                <w:sz w:val="24"/>
                <w:szCs w:val="24"/>
                <w:lang w:val="en-US"/>
              </w:rPr>
              <w:t>und shall be reduced by the amount of losses actually covered for the Insurer and recalculated into the maximum loss coverage volume</w:t>
            </w:r>
          </w:p>
        </w:tc>
      </w:tr>
      <w:tr w:rsidR="00796B74" w14:paraId="1FEE27CA" w14:textId="77777777" w:rsidTr="00DA4696">
        <w:tc>
          <w:tcPr>
            <w:tcW w:w="2853" w:type="dxa"/>
            <w:tcBorders>
              <w:bottom w:val="single" w:sz="4" w:space="0" w:color="000000"/>
            </w:tcBorders>
          </w:tcPr>
          <w:p w14:paraId="614584C3" w14:textId="77777777" w:rsidR="00CE285C" w:rsidRPr="002F19E8" w:rsidRDefault="004E47A2" w:rsidP="00CE285C">
            <w:pPr>
              <w:autoSpaceDE w:val="0"/>
              <w:autoSpaceDN w:val="0"/>
              <w:spacing w:after="0" w:line="240" w:lineRule="auto"/>
              <w:contextualSpacing/>
              <w:jc w:val="both"/>
              <w:rPr>
                <w:rFonts w:ascii="Times New Roman" w:hAnsi="Times New Roman"/>
                <w:b/>
                <w:sz w:val="24"/>
                <w:szCs w:val="24"/>
              </w:rPr>
            </w:pPr>
            <w:r w:rsidRPr="002F19E8">
              <w:rPr>
                <w:rFonts w:ascii="Times New Roman" w:hAnsi="Times New Roman"/>
                <w:b/>
                <w:sz w:val="24"/>
                <w:szCs w:val="24"/>
                <w:lang w:val="en-US"/>
              </w:rPr>
              <w:lastRenderedPageBreak/>
              <w:t>Eligibility period</w:t>
            </w:r>
          </w:p>
        </w:tc>
        <w:tc>
          <w:tcPr>
            <w:tcW w:w="6894" w:type="dxa"/>
            <w:tcBorders>
              <w:bottom w:val="single" w:sz="4" w:space="0" w:color="000000"/>
            </w:tcBorders>
          </w:tcPr>
          <w:p w14:paraId="43032600" w14:textId="783D2C6B" w:rsidR="00CE285C" w:rsidRPr="002F19E8" w:rsidRDefault="004E47A2" w:rsidP="00CE285C">
            <w:pPr>
              <w:keepNext/>
              <w:autoSpaceDE w:val="0"/>
              <w:autoSpaceDN w:val="0"/>
              <w:spacing w:after="0" w:line="240" w:lineRule="auto"/>
              <w:contextualSpacing/>
              <w:jc w:val="both"/>
              <w:rPr>
                <w:rFonts w:ascii="Times New Roman" w:hAnsi="Times New Roman"/>
                <w:sz w:val="24"/>
                <w:szCs w:val="24"/>
              </w:rPr>
            </w:pPr>
            <w:r w:rsidRPr="002F19E8">
              <w:rPr>
                <w:rFonts w:ascii="Times New Roman" w:hAnsi="Times New Roman"/>
                <w:sz w:val="24"/>
                <w:szCs w:val="24"/>
                <w:lang w:val="en-US"/>
              </w:rPr>
              <w:t xml:space="preserve">Insurance </w:t>
            </w:r>
            <w:r w:rsidR="0043291D">
              <w:rPr>
                <w:rFonts w:ascii="Times New Roman" w:hAnsi="Times New Roman"/>
                <w:sz w:val="24"/>
                <w:szCs w:val="24"/>
                <w:lang w:val="en-US"/>
              </w:rPr>
              <w:t>c</w:t>
            </w:r>
            <w:r w:rsidRPr="002F19E8">
              <w:rPr>
                <w:rFonts w:ascii="Times New Roman" w:hAnsi="Times New Roman"/>
                <w:sz w:val="24"/>
                <w:szCs w:val="24"/>
                <w:lang w:val="en-US"/>
              </w:rPr>
              <w:t xml:space="preserve">ontracts that meet the eligibility conditions for Insurance </w:t>
            </w:r>
            <w:r w:rsidR="003D2BF0">
              <w:rPr>
                <w:rFonts w:ascii="Times New Roman" w:hAnsi="Times New Roman"/>
                <w:sz w:val="24"/>
                <w:szCs w:val="24"/>
                <w:lang w:val="en-US"/>
              </w:rPr>
              <w:t>c</w:t>
            </w:r>
            <w:r w:rsidRPr="002F19E8">
              <w:rPr>
                <w:rFonts w:ascii="Times New Roman" w:hAnsi="Times New Roman"/>
                <w:sz w:val="24"/>
                <w:szCs w:val="24"/>
                <w:lang w:val="en-US"/>
              </w:rPr>
              <w:t xml:space="preserve">ontracts included in the Insurance </w:t>
            </w:r>
            <w:r w:rsidR="003D2BF0">
              <w:rPr>
                <w:rFonts w:ascii="Times New Roman" w:hAnsi="Times New Roman"/>
                <w:sz w:val="24"/>
                <w:szCs w:val="24"/>
                <w:lang w:val="en-US"/>
              </w:rPr>
              <w:t>p</w:t>
            </w:r>
            <w:r w:rsidRPr="002F19E8">
              <w:rPr>
                <w:rFonts w:ascii="Times New Roman" w:hAnsi="Times New Roman"/>
                <w:sz w:val="24"/>
                <w:szCs w:val="24"/>
                <w:lang w:val="en-US"/>
              </w:rPr>
              <w:t xml:space="preserve">ortfolios may be included in the Insurance </w:t>
            </w:r>
            <w:r w:rsidR="003D2BF0">
              <w:rPr>
                <w:rFonts w:ascii="Times New Roman" w:hAnsi="Times New Roman"/>
                <w:sz w:val="24"/>
                <w:szCs w:val="24"/>
                <w:lang w:val="en-US"/>
              </w:rPr>
              <w:t>p</w:t>
            </w:r>
            <w:r w:rsidRPr="002F19E8">
              <w:rPr>
                <w:rFonts w:ascii="Times New Roman" w:hAnsi="Times New Roman"/>
                <w:sz w:val="24"/>
                <w:szCs w:val="24"/>
                <w:lang w:val="en-US"/>
              </w:rPr>
              <w:t>ortfolio by 31 December 2020 at the latest (with the possibility to extend the Eligibility Period if the Communication is extended).</w:t>
            </w:r>
          </w:p>
          <w:p w14:paraId="6AD59CD3" w14:textId="6404D981" w:rsidR="00CE285C" w:rsidRPr="002F19E8" w:rsidRDefault="004E47A2" w:rsidP="00CE285C">
            <w:pPr>
              <w:keepNext/>
              <w:autoSpaceDE w:val="0"/>
              <w:autoSpaceDN w:val="0"/>
              <w:spacing w:after="0" w:line="240" w:lineRule="auto"/>
              <w:contextualSpacing/>
              <w:jc w:val="both"/>
              <w:rPr>
                <w:rFonts w:ascii="Times New Roman" w:hAnsi="Times New Roman"/>
                <w:sz w:val="24"/>
                <w:szCs w:val="24"/>
              </w:rPr>
            </w:pPr>
            <w:r w:rsidRPr="002F19E8">
              <w:rPr>
                <w:rFonts w:ascii="Times New Roman" w:hAnsi="Times New Roman"/>
                <w:sz w:val="24"/>
                <w:szCs w:val="24"/>
                <w:lang w:val="en-US"/>
              </w:rPr>
              <w:t xml:space="preserve">During this period, Insurance </w:t>
            </w:r>
            <w:r w:rsidR="0043291D">
              <w:rPr>
                <w:rFonts w:ascii="Times New Roman" w:hAnsi="Times New Roman"/>
                <w:sz w:val="24"/>
                <w:szCs w:val="24"/>
                <w:lang w:val="en-US"/>
              </w:rPr>
              <w:t>c</w:t>
            </w:r>
            <w:r w:rsidRPr="002F19E8">
              <w:rPr>
                <w:rFonts w:ascii="Times New Roman" w:hAnsi="Times New Roman"/>
                <w:sz w:val="24"/>
                <w:szCs w:val="24"/>
                <w:lang w:val="en-US"/>
              </w:rPr>
              <w:t xml:space="preserve">ontracts that meet the eligibility conditions </w:t>
            </w:r>
            <w:r w:rsidR="00302EC2">
              <w:rPr>
                <w:rFonts w:ascii="Times New Roman" w:hAnsi="Times New Roman"/>
                <w:sz w:val="24"/>
                <w:szCs w:val="24"/>
                <w:lang w:val="en-US"/>
              </w:rPr>
              <w:t>for</w:t>
            </w:r>
            <w:r w:rsidRPr="002F19E8">
              <w:rPr>
                <w:rFonts w:ascii="Times New Roman" w:hAnsi="Times New Roman"/>
                <w:sz w:val="24"/>
                <w:szCs w:val="24"/>
                <w:lang w:val="en-US"/>
              </w:rPr>
              <w:t xml:space="preserve"> Insurance </w:t>
            </w:r>
            <w:r w:rsidR="0043291D">
              <w:rPr>
                <w:rFonts w:ascii="Times New Roman" w:hAnsi="Times New Roman"/>
                <w:sz w:val="24"/>
                <w:szCs w:val="24"/>
                <w:lang w:val="en-US"/>
              </w:rPr>
              <w:t>c</w:t>
            </w:r>
            <w:r w:rsidRPr="002F19E8">
              <w:rPr>
                <w:rFonts w:ascii="Times New Roman" w:hAnsi="Times New Roman"/>
                <w:sz w:val="24"/>
                <w:szCs w:val="24"/>
                <w:lang w:val="en-US"/>
              </w:rPr>
              <w:t xml:space="preserve">ontracts may be included in an Insurance </w:t>
            </w:r>
            <w:r w:rsidR="0043291D">
              <w:rPr>
                <w:rFonts w:ascii="Times New Roman" w:hAnsi="Times New Roman"/>
                <w:sz w:val="24"/>
                <w:szCs w:val="24"/>
                <w:lang w:val="en-US"/>
              </w:rPr>
              <w:t>p</w:t>
            </w:r>
            <w:r w:rsidRPr="002F19E8">
              <w:rPr>
                <w:rFonts w:ascii="Times New Roman" w:hAnsi="Times New Roman"/>
                <w:sz w:val="24"/>
                <w:szCs w:val="24"/>
                <w:lang w:val="en-US"/>
              </w:rPr>
              <w:t>ortfolio</w:t>
            </w:r>
          </w:p>
        </w:tc>
      </w:tr>
      <w:tr w:rsidR="00796B74" w14:paraId="13789CE9" w14:textId="77777777" w:rsidTr="00DA4696">
        <w:tc>
          <w:tcPr>
            <w:tcW w:w="2853" w:type="dxa"/>
          </w:tcPr>
          <w:p w14:paraId="0E7941D5" w14:textId="77777777" w:rsidR="00CE285C" w:rsidRPr="002F19E8" w:rsidRDefault="004E47A2" w:rsidP="0089613B">
            <w:pPr>
              <w:rPr>
                <w:rFonts w:ascii="Times New Roman" w:hAnsi="Times New Roman"/>
                <w:b/>
                <w:bCs/>
                <w:sz w:val="24"/>
                <w:szCs w:val="24"/>
              </w:rPr>
            </w:pPr>
            <w:r w:rsidRPr="002F19E8">
              <w:rPr>
                <w:rFonts w:ascii="Times New Roman" w:hAnsi="Times New Roman"/>
                <w:b/>
                <w:bCs/>
                <w:sz w:val="24"/>
                <w:szCs w:val="24"/>
                <w:lang w:val="en-US"/>
              </w:rPr>
              <w:t>Policyholder eligibility conditions</w:t>
            </w:r>
          </w:p>
        </w:tc>
        <w:tc>
          <w:tcPr>
            <w:tcW w:w="6894" w:type="dxa"/>
          </w:tcPr>
          <w:p w14:paraId="5CDF4CDD" w14:textId="50D5826C" w:rsidR="00CE285C" w:rsidRPr="002F19E8" w:rsidRDefault="00302EC2" w:rsidP="001E10C3">
            <w:pPr>
              <w:numPr>
                <w:ilvl w:val="0"/>
                <w:numId w:val="15"/>
              </w:numPr>
              <w:tabs>
                <w:tab w:val="left" w:pos="319"/>
              </w:tabs>
              <w:spacing w:after="0" w:line="240" w:lineRule="auto"/>
              <w:ind w:left="-107" w:firstLine="107"/>
              <w:contextualSpacing/>
              <w:jc w:val="both"/>
              <w:rPr>
                <w:rFonts w:ascii="Times New Roman" w:hAnsi="Times New Roman"/>
                <w:sz w:val="24"/>
                <w:szCs w:val="24"/>
              </w:rPr>
            </w:pPr>
            <w:r>
              <w:rPr>
                <w:rFonts w:ascii="Times New Roman" w:hAnsi="Times New Roman"/>
                <w:sz w:val="24"/>
                <w:szCs w:val="24"/>
                <w:lang w:val="en-US"/>
              </w:rPr>
              <w:t>The</w:t>
            </w:r>
            <w:r w:rsidR="004E47A2" w:rsidRPr="002F19E8">
              <w:rPr>
                <w:rFonts w:ascii="Times New Roman" w:hAnsi="Times New Roman"/>
                <w:sz w:val="24"/>
                <w:szCs w:val="24"/>
                <w:lang w:val="en-US"/>
              </w:rPr>
              <w:t xml:space="preserve"> </w:t>
            </w:r>
            <w:r>
              <w:rPr>
                <w:rFonts w:ascii="Times New Roman" w:hAnsi="Times New Roman"/>
                <w:sz w:val="24"/>
                <w:szCs w:val="24"/>
                <w:lang w:val="en-US"/>
              </w:rPr>
              <w:t>P</w:t>
            </w:r>
            <w:r w:rsidR="004E47A2" w:rsidRPr="002F19E8">
              <w:rPr>
                <w:rFonts w:ascii="Times New Roman" w:hAnsi="Times New Roman"/>
                <w:sz w:val="24"/>
                <w:szCs w:val="24"/>
                <w:lang w:val="en-US"/>
              </w:rPr>
              <w:t>olicyholder is a legal entity.</w:t>
            </w:r>
          </w:p>
          <w:p w14:paraId="7D9494DF" w14:textId="1E633BFB" w:rsidR="00CE285C" w:rsidRPr="002F19E8" w:rsidRDefault="004E47A2" w:rsidP="00CE285C">
            <w:pPr>
              <w:tabs>
                <w:tab w:val="left" w:pos="319"/>
              </w:tabs>
              <w:spacing w:after="0" w:line="240" w:lineRule="auto"/>
              <w:contextualSpacing/>
              <w:jc w:val="both"/>
              <w:rPr>
                <w:rFonts w:ascii="Times New Roman" w:hAnsi="Times New Roman"/>
                <w:sz w:val="24"/>
                <w:szCs w:val="24"/>
              </w:rPr>
            </w:pPr>
            <w:r w:rsidRPr="002F19E8">
              <w:rPr>
                <w:rFonts w:ascii="Times New Roman" w:hAnsi="Times New Roman"/>
                <w:sz w:val="24"/>
                <w:szCs w:val="24"/>
                <w:lang w:val="en-US"/>
              </w:rPr>
              <w:t xml:space="preserve">2. </w:t>
            </w:r>
            <w:r w:rsidR="00302EC2">
              <w:rPr>
                <w:rFonts w:ascii="Times New Roman" w:hAnsi="Times New Roman"/>
                <w:sz w:val="24"/>
                <w:szCs w:val="24"/>
                <w:lang w:val="en-US"/>
              </w:rPr>
              <w:t>The</w:t>
            </w:r>
            <w:r w:rsidRPr="002F19E8">
              <w:rPr>
                <w:rFonts w:ascii="Times New Roman" w:hAnsi="Times New Roman"/>
                <w:sz w:val="24"/>
                <w:szCs w:val="24"/>
                <w:lang w:val="en-US"/>
              </w:rPr>
              <w:t xml:space="preserve"> Policyholder, whose Insurance </w:t>
            </w:r>
            <w:r w:rsidR="0043291D">
              <w:rPr>
                <w:rFonts w:ascii="Times New Roman" w:hAnsi="Times New Roman"/>
                <w:sz w:val="24"/>
                <w:szCs w:val="24"/>
                <w:lang w:val="en-US"/>
              </w:rPr>
              <w:t>c</w:t>
            </w:r>
            <w:r w:rsidRPr="002F19E8">
              <w:rPr>
                <w:rFonts w:ascii="Times New Roman" w:hAnsi="Times New Roman"/>
                <w:sz w:val="24"/>
                <w:szCs w:val="24"/>
                <w:lang w:val="en-US"/>
              </w:rPr>
              <w:t xml:space="preserve">ontract is included in the Insurance </w:t>
            </w:r>
            <w:r w:rsidR="0043291D">
              <w:rPr>
                <w:rFonts w:ascii="Times New Roman" w:hAnsi="Times New Roman"/>
                <w:sz w:val="24"/>
                <w:szCs w:val="24"/>
                <w:lang w:val="en-US"/>
              </w:rPr>
              <w:t>p</w:t>
            </w:r>
            <w:r w:rsidRPr="002F19E8">
              <w:rPr>
                <w:rFonts w:ascii="Times New Roman" w:hAnsi="Times New Roman"/>
                <w:sz w:val="24"/>
                <w:szCs w:val="24"/>
                <w:lang w:val="en-US"/>
              </w:rPr>
              <w:t xml:space="preserve">ortfolio, must operate in the Republic of Lithuania. </w:t>
            </w:r>
            <w:r w:rsidR="00302EC2">
              <w:rPr>
                <w:rFonts w:ascii="Times New Roman" w:hAnsi="Times New Roman"/>
                <w:sz w:val="24"/>
                <w:szCs w:val="24"/>
                <w:lang w:val="en-US"/>
              </w:rPr>
              <w:t>A</w:t>
            </w:r>
            <w:r w:rsidRPr="002F19E8">
              <w:rPr>
                <w:rFonts w:ascii="Times New Roman" w:hAnsi="Times New Roman"/>
                <w:sz w:val="24"/>
                <w:szCs w:val="24"/>
                <w:lang w:val="en-US"/>
              </w:rPr>
              <w:t xml:space="preserve"> </w:t>
            </w:r>
            <w:r w:rsidR="00302EC2">
              <w:rPr>
                <w:rFonts w:ascii="Times New Roman" w:hAnsi="Times New Roman"/>
                <w:sz w:val="24"/>
                <w:szCs w:val="24"/>
                <w:lang w:val="en-US"/>
              </w:rPr>
              <w:t>P</w:t>
            </w:r>
            <w:r w:rsidRPr="002F19E8">
              <w:rPr>
                <w:rFonts w:ascii="Times New Roman" w:hAnsi="Times New Roman"/>
                <w:sz w:val="24"/>
                <w:szCs w:val="24"/>
                <w:lang w:val="en-US"/>
              </w:rPr>
              <w:t>olicyholder is considered to be operating in the Republic of Lithuania if it creates jobs in the Republic of Lithuania and/or pays taxes or contributions arising from its activities to the budget of the Republic of Lithuania or to the State Social Insurance Fund Board under the Ministry of Social Security and Labor.</w:t>
            </w:r>
          </w:p>
          <w:p w14:paraId="4045A25F" w14:textId="77777777" w:rsidR="00D034E5" w:rsidRDefault="004E47A2" w:rsidP="00D034E5">
            <w:pPr>
              <w:tabs>
                <w:tab w:val="left" w:pos="0"/>
              </w:tabs>
              <w:spacing w:after="0" w:line="240" w:lineRule="auto"/>
              <w:contextualSpacing/>
              <w:jc w:val="both"/>
              <w:rPr>
                <w:rFonts w:ascii="Times New Roman" w:hAnsi="Times New Roman"/>
                <w:sz w:val="24"/>
                <w:szCs w:val="24"/>
                <w:lang w:val="en-US"/>
              </w:rPr>
            </w:pPr>
            <w:r w:rsidRPr="002F19E8">
              <w:rPr>
                <w:rFonts w:ascii="Times New Roman" w:hAnsi="Times New Roman"/>
                <w:sz w:val="24"/>
                <w:szCs w:val="24"/>
                <w:lang w:val="en-US"/>
              </w:rPr>
              <w:t>3. On 31 December 2019 the Policyholder was not considered to be in difficulty within the meaning of  the Commission Regulation (EU)  No Amending Regulation (EU) No 651/2014 of 17 June 2014 declaring certain categories of aid compatible with the internal market in application of Articles 107 and 108 of the Treaty (hereinafter referred to as the Regulation No 651/2014)</w:t>
            </w:r>
            <w:r w:rsidR="00587973">
              <w:rPr>
                <w:rFonts w:ascii="Times New Roman" w:hAnsi="Times New Roman"/>
                <w:sz w:val="24"/>
                <w:szCs w:val="24"/>
                <w:lang w:val="en-US"/>
              </w:rPr>
              <w:t>.</w:t>
            </w:r>
          </w:p>
          <w:p w14:paraId="48202001" w14:textId="3CE692BD" w:rsidR="00587973" w:rsidRPr="002F19E8" w:rsidRDefault="00587973" w:rsidP="00D034E5">
            <w:pPr>
              <w:tabs>
                <w:tab w:val="left" w:pos="0"/>
              </w:tabs>
              <w:spacing w:after="0" w:line="240" w:lineRule="auto"/>
              <w:contextualSpacing/>
              <w:jc w:val="both"/>
              <w:rPr>
                <w:rFonts w:ascii="Times New Roman" w:hAnsi="Times New Roman"/>
                <w:sz w:val="24"/>
                <w:szCs w:val="24"/>
              </w:rPr>
            </w:pPr>
            <w:r>
              <w:rPr>
                <w:rFonts w:ascii="Times New Roman" w:hAnsi="Times New Roman"/>
                <w:sz w:val="24"/>
                <w:szCs w:val="24"/>
              </w:rPr>
              <w:t xml:space="preserve">4. </w:t>
            </w:r>
            <w:proofErr w:type="spellStart"/>
            <w:r>
              <w:rPr>
                <w:rFonts w:ascii="Times New Roman" w:hAnsi="Times New Roman"/>
                <w:sz w:val="24"/>
                <w:szCs w:val="24"/>
              </w:rPr>
              <w:t>In</w:t>
            </w:r>
            <w:proofErr w:type="spellEnd"/>
            <w:r>
              <w:rPr>
                <w:rFonts w:ascii="Times New Roman" w:hAnsi="Times New Roman"/>
                <w:sz w:val="24"/>
                <w:szCs w:val="24"/>
              </w:rPr>
              <w:t xml:space="preserve"> </w:t>
            </w:r>
            <w:proofErr w:type="spellStart"/>
            <w:r>
              <w:rPr>
                <w:rFonts w:ascii="Times New Roman" w:hAnsi="Times New Roman"/>
                <w:sz w:val="24"/>
                <w:szCs w:val="24"/>
              </w:rPr>
              <w:t>case</w:t>
            </w:r>
            <w:proofErr w:type="spellEnd"/>
            <w:r>
              <w:rPr>
                <w:rFonts w:ascii="Times New Roman" w:hAnsi="Times New Roman"/>
                <w:sz w:val="24"/>
                <w:szCs w:val="24"/>
              </w:rPr>
              <w:t xml:space="preserve"> </w:t>
            </w:r>
            <w:proofErr w:type="spellStart"/>
            <w:r>
              <w:rPr>
                <w:rFonts w:ascii="Times New Roman" w:hAnsi="Times New Roman"/>
                <w:sz w:val="24"/>
                <w:szCs w:val="24"/>
              </w:rPr>
              <w:t>when</w:t>
            </w:r>
            <w:proofErr w:type="spellEnd"/>
            <w:r>
              <w:rPr>
                <w:rFonts w:ascii="Times New Roman" w:hAnsi="Times New Roman"/>
                <w:sz w:val="24"/>
                <w:szCs w:val="24"/>
              </w:rPr>
              <w:t xml:space="preserve"> </w:t>
            </w:r>
            <w:proofErr w:type="spellStart"/>
            <w:r w:rsidRPr="00587973">
              <w:rPr>
                <w:rFonts w:ascii="Times New Roman" w:hAnsi="Times New Roman"/>
                <w:sz w:val="24"/>
                <w:szCs w:val="24"/>
              </w:rPr>
              <w:t>the</w:t>
            </w:r>
            <w:proofErr w:type="spellEnd"/>
            <w:r w:rsidRPr="00587973">
              <w:rPr>
                <w:rFonts w:ascii="Times New Roman" w:hAnsi="Times New Roman"/>
                <w:sz w:val="24"/>
                <w:szCs w:val="24"/>
              </w:rPr>
              <w:t xml:space="preserve"> </w:t>
            </w:r>
            <w:proofErr w:type="spellStart"/>
            <w:r w:rsidRPr="00587973">
              <w:rPr>
                <w:rFonts w:ascii="Times New Roman" w:hAnsi="Times New Roman"/>
                <w:sz w:val="24"/>
                <w:szCs w:val="24"/>
              </w:rPr>
              <w:t>same</w:t>
            </w:r>
            <w:proofErr w:type="spellEnd"/>
            <w:r w:rsidRPr="00587973">
              <w:rPr>
                <w:rFonts w:ascii="Times New Roman" w:hAnsi="Times New Roman"/>
                <w:sz w:val="24"/>
                <w:szCs w:val="24"/>
              </w:rPr>
              <w:t xml:space="preserve"> </w:t>
            </w:r>
            <w:proofErr w:type="spellStart"/>
            <w:r w:rsidRPr="00587973">
              <w:rPr>
                <w:rFonts w:ascii="Times New Roman" w:hAnsi="Times New Roman"/>
                <w:sz w:val="24"/>
                <w:szCs w:val="24"/>
              </w:rPr>
              <w:t>Insurance</w:t>
            </w:r>
            <w:proofErr w:type="spellEnd"/>
            <w:r w:rsidRPr="00587973">
              <w:rPr>
                <w:rFonts w:ascii="Times New Roman" w:hAnsi="Times New Roman"/>
                <w:sz w:val="24"/>
                <w:szCs w:val="24"/>
              </w:rPr>
              <w:t xml:space="preserve"> </w:t>
            </w:r>
            <w:proofErr w:type="spellStart"/>
            <w:r>
              <w:rPr>
                <w:rFonts w:ascii="Times New Roman" w:hAnsi="Times New Roman"/>
                <w:sz w:val="24"/>
                <w:szCs w:val="24"/>
              </w:rPr>
              <w:t>c</w:t>
            </w:r>
            <w:r w:rsidRPr="00587973">
              <w:rPr>
                <w:rFonts w:ascii="Times New Roman" w:hAnsi="Times New Roman"/>
                <w:sz w:val="24"/>
                <w:szCs w:val="24"/>
              </w:rPr>
              <w:t>ontract</w:t>
            </w:r>
            <w:proofErr w:type="spellEnd"/>
            <w:r w:rsidRPr="00587973">
              <w:rPr>
                <w:rFonts w:ascii="Times New Roman" w:hAnsi="Times New Roman"/>
                <w:sz w:val="24"/>
                <w:szCs w:val="24"/>
              </w:rPr>
              <w:t xml:space="preserve"> also </w:t>
            </w:r>
            <w:proofErr w:type="spellStart"/>
            <w:r w:rsidRPr="00587973">
              <w:rPr>
                <w:rFonts w:ascii="Times New Roman" w:hAnsi="Times New Roman"/>
                <w:sz w:val="24"/>
                <w:szCs w:val="24"/>
              </w:rPr>
              <w:t>covers</w:t>
            </w:r>
            <w:proofErr w:type="spellEnd"/>
            <w:r w:rsidRPr="00587973">
              <w:rPr>
                <w:rFonts w:ascii="Times New Roman" w:hAnsi="Times New Roman"/>
                <w:sz w:val="24"/>
                <w:szCs w:val="24"/>
              </w:rPr>
              <w:t xml:space="preserve"> </w:t>
            </w:r>
            <w:proofErr w:type="spellStart"/>
            <w:r w:rsidRPr="00587973">
              <w:rPr>
                <w:rFonts w:ascii="Times New Roman" w:hAnsi="Times New Roman"/>
                <w:sz w:val="24"/>
                <w:szCs w:val="24"/>
              </w:rPr>
              <w:t>companies</w:t>
            </w:r>
            <w:proofErr w:type="spellEnd"/>
            <w:r w:rsidRPr="00587973">
              <w:rPr>
                <w:rFonts w:ascii="Times New Roman" w:hAnsi="Times New Roman"/>
                <w:sz w:val="24"/>
                <w:szCs w:val="24"/>
              </w:rPr>
              <w:t xml:space="preserve"> </w:t>
            </w:r>
            <w:proofErr w:type="spellStart"/>
            <w:r w:rsidRPr="00587973">
              <w:rPr>
                <w:rFonts w:ascii="Times New Roman" w:hAnsi="Times New Roman"/>
                <w:sz w:val="24"/>
                <w:szCs w:val="24"/>
              </w:rPr>
              <w:t>related</w:t>
            </w:r>
            <w:proofErr w:type="spellEnd"/>
            <w:r w:rsidRPr="00587973">
              <w:rPr>
                <w:rFonts w:ascii="Times New Roman" w:hAnsi="Times New Roman"/>
                <w:sz w:val="24"/>
                <w:szCs w:val="24"/>
              </w:rPr>
              <w:t xml:space="preserve"> to </w:t>
            </w:r>
            <w:proofErr w:type="spellStart"/>
            <w:r w:rsidRPr="00587973">
              <w:rPr>
                <w:rFonts w:ascii="Times New Roman" w:hAnsi="Times New Roman"/>
                <w:sz w:val="24"/>
                <w:szCs w:val="24"/>
              </w:rPr>
              <w:t>the</w:t>
            </w:r>
            <w:proofErr w:type="spellEnd"/>
            <w:r w:rsidRPr="00587973">
              <w:rPr>
                <w:rFonts w:ascii="Times New Roman" w:hAnsi="Times New Roman"/>
                <w:sz w:val="24"/>
                <w:szCs w:val="24"/>
              </w:rPr>
              <w:t xml:space="preserve"> </w:t>
            </w:r>
            <w:proofErr w:type="spellStart"/>
            <w:r w:rsidRPr="00587973">
              <w:rPr>
                <w:rFonts w:ascii="Times New Roman" w:hAnsi="Times New Roman"/>
                <w:sz w:val="24"/>
                <w:szCs w:val="24"/>
              </w:rPr>
              <w:t>Policyholder</w:t>
            </w:r>
            <w:proofErr w:type="spellEnd"/>
            <w:r w:rsidRPr="00587973">
              <w:rPr>
                <w:rFonts w:ascii="Times New Roman" w:hAnsi="Times New Roman"/>
                <w:sz w:val="24"/>
                <w:szCs w:val="24"/>
              </w:rPr>
              <w:t xml:space="preserve">, </w:t>
            </w:r>
            <w:proofErr w:type="spellStart"/>
            <w:r w:rsidRPr="00587973">
              <w:rPr>
                <w:rFonts w:ascii="Times New Roman" w:hAnsi="Times New Roman"/>
                <w:sz w:val="24"/>
                <w:szCs w:val="24"/>
              </w:rPr>
              <w:t>these</w:t>
            </w:r>
            <w:proofErr w:type="spellEnd"/>
            <w:r w:rsidRPr="00587973">
              <w:rPr>
                <w:rFonts w:ascii="Times New Roman" w:hAnsi="Times New Roman"/>
                <w:sz w:val="24"/>
                <w:szCs w:val="24"/>
              </w:rPr>
              <w:t xml:space="preserve"> </w:t>
            </w:r>
            <w:proofErr w:type="spellStart"/>
            <w:r w:rsidRPr="00587973">
              <w:rPr>
                <w:rFonts w:ascii="Times New Roman" w:hAnsi="Times New Roman"/>
                <w:sz w:val="24"/>
                <w:szCs w:val="24"/>
              </w:rPr>
              <w:t>companies</w:t>
            </w:r>
            <w:proofErr w:type="spellEnd"/>
            <w:r w:rsidRPr="00587973">
              <w:rPr>
                <w:rFonts w:ascii="Times New Roman" w:hAnsi="Times New Roman"/>
                <w:sz w:val="24"/>
                <w:szCs w:val="24"/>
              </w:rPr>
              <w:t xml:space="preserve"> </w:t>
            </w:r>
            <w:proofErr w:type="spellStart"/>
            <w:r w:rsidRPr="00587973">
              <w:rPr>
                <w:rFonts w:ascii="Times New Roman" w:hAnsi="Times New Roman"/>
                <w:sz w:val="24"/>
                <w:szCs w:val="24"/>
              </w:rPr>
              <w:t>must</w:t>
            </w:r>
            <w:proofErr w:type="spellEnd"/>
            <w:r w:rsidRPr="00587973">
              <w:rPr>
                <w:rFonts w:ascii="Times New Roman" w:hAnsi="Times New Roman"/>
                <w:sz w:val="24"/>
                <w:szCs w:val="24"/>
              </w:rPr>
              <w:t xml:space="preserve"> be </w:t>
            </w:r>
            <w:proofErr w:type="spellStart"/>
            <w:r w:rsidRPr="00587973">
              <w:rPr>
                <w:rFonts w:ascii="Times New Roman" w:hAnsi="Times New Roman"/>
                <w:sz w:val="24"/>
                <w:szCs w:val="24"/>
              </w:rPr>
              <w:t>subject</w:t>
            </w:r>
            <w:proofErr w:type="spellEnd"/>
            <w:r w:rsidRPr="00587973">
              <w:rPr>
                <w:rFonts w:ascii="Times New Roman" w:hAnsi="Times New Roman"/>
                <w:sz w:val="24"/>
                <w:szCs w:val="24"/>
              </w:rPr>
              <w:t xml:space="preserve"> to </w:t>
            </w:r>
            <w:proofErr w:type="spellStart"/>
            <w:r w:rsidRPr="00587973">
              <w:rPr>
                <w:rFonts w:ascii="Times New Roman" w:hAnsi="Times New Roman"/>
                <w:sz w:val="24"/>
                <w:szCs w:val="24"/>
              </w:rPr>
              <w:t>the</w:t>
            </w:r>
            <w:proofErr w:type="spellEnd"/>
            <w:r w:rsidRPr="00587973">
              <w:rPr>
                <w:rFonts w:ascii="Times New Roman" w:hAnsi="Times New Roman"/>
                <w:sz w:val="24"/>
                <w:szCs w:val="24"/>
              </w:rPr>
              <w:t xml:space="preserve"> </w:t>
            </w:r>
            <w:proofErr w:type="spellStart"/>
            <w:r w:rsidRPr="00587973">
              <w:rPr>
                <w:rFonts w:ascii="Times New Roman" w:hAnsi="Times New Roman"/>
                <w:sz w:val="24"/>
                <w:szCs w:val="24"/>
              </w:rPr>
              <w:t>same</w:t>
            </w:r>
            <w:proofErr w:type="spellEnd"/>
            <w:r w:rsidRPr="00587973">
              <w:rPr>
                <w:rFonts w:ascii="Times New Roman" w:hAnsi="Times New Roman"/>
                <w:sz w:val="24"/>
                <w:szCs w:val="24"/>
              </w:rPr>
              <w:t xml:space="preserve"> </w:t>
            </w:r>
            <w:proofErr w:type="spellStart"/>
            <w:r w:rsidRPr="00587973">
              <w:rPr>
                <w:rFonts w:ascii="Times New Roman" w:hAnsi="Times New Roman"/>
                <w:sz w:val="24"/>
                <w:szCs w:val="24"/>
              </w:rPr>
              <w:t>Policyholder</w:t>
            </w:r>
            <w:proofErr w:type="spellEnd"/>
            <w:r w:rsidRPr="00587973">
              <w:rPr>
                <w:rFonts w:ascii="Times New Roman" w:hAnsi="Times New Roman"/>
                <w:sz w:val="24"/>
                <w:szCs w:val="24"/>
              </w:rPr>
              <w:t xml:space="preserve"> </w:t>
            </w:r>
            <w:proofErr w:type="spellStart"/>
            <w:r w:rsidRPr="00587973">
              <w:rPr>
                <w:rFonts w:ascii="Times New Roman" w:hAnsi="Times New Roman"/>
                <w:sz w:val="24"/>
                <w:szCs w:val="24"/>
              </w:rPr>
              <w:t>eligibility</w:t>
            </w:r>
            <w:proofErr w:type="spellEnd"/>
            <w:r w:rsidRPr="00587973">
              <w:rPr>
                <w:rFonts w:ascii="Times New Roman" w:hAnsi="Times New Roman"/>
                <w:sz w:val="24"/>
                <w:szCs w:val="24"/>
              </w:rPr>
              <w:t xml:space="preserve"> </w:t>
            </w:r>
            <w:proofErr w:type="spellStart"/>
            <w:r w:rsidRPr="00587973">
              <w:rPr>
                <w:rFonts w:ascii="Times New Roman" w:hAnsi="Times New Roman"/>
                <w:sz w:val="24"/>
                <w:szCs w:val="24"/>
              </w:rPr>
              <w:t>conditions</w:t>
            </w:r>
            <w:proofErr w:type="spellEnd"/>
            <w:r w:rsidRPr="00587973">
              <w:rPr>
                <w:rFonts w:ascii="Times New Roman" w:hAnsi="Times New Roman"/>
                <w:sz w:val="24"/>
                <w:szCs w:val="24"/>
              </w:rPr>
              <w:t xml:space="preserve"> </w:t>
            </w:r>
            <w:proofErr w:type="spellStart"/>
            <w:r w:rsidRPr="00587973">
              <w:rPr>
                <w:rFonts w:ascii="Times New Roman" w:hAnsi="Times New Roman"/>
                <w:sz w:val="24"/>
                <w:szCs w:val="24"/>
              </w:rPr>
              <w:t>as</w:t>
            </w:r>
            <w:proofErr w:type="spellEnd"/>
            <w:r w:rsidRPr="00587973">
              <w:rPr>
                <w:rFonts w:ascii="Times New Roman" w:hAnsi="Times New Roman"/>
                <w:sz w:val="24"/>
                <w:szCs w:val="24"/>
              </w:rPr>
              <w:t xml:space="preserve"> </w:t>
            </w:r>
            <w:proofErr w:type="spellStart"/>
            <w:r w:rsidRPr="00587973">
              <w:rPr>
                <w:rFonts w:ascii="Times New Roman" w:hAnsi="Times New Roman"/>
                <w:sz w:val="24"/>
                <w:szCs w:val="24"/>
              </w:rPr>
              <w:t>the</w:t>
            </w:r>
            <w:proofErr w:type="spellEnd"/>
            <w:r w:rsidRPr="00587973">
              <w:rPr>
                <w:rFonts w:ascii="Times New Roman" w:hAnsi="Times New Roman"/>
                <w:sz w:val="24"/>
                <w:szCs w:val="24"/>
              </w:rPr>
              <w:t xml:space="preserve"> </w:t>
            </w:r>
            <w:proofErr w:type="spellStart"/>
            <w:r w:rsidRPr="00587973">
              <w:rPr>
                <w:rFonts w:ascii="Times New Roman" w:hAnsi="Times New Roman"/>
                <w:sz w:val="24"/>
                <w:szCs w:val="24"/>
              </w:rPr>
              <w:t>Policyholder</w:t>
            </w:r>
            <w:proofErr w:type="spellEnd"/>
            <w:r w:rsidRPr="00587973">
              <w:rPr>
                <w:rFonts w:ascii="Times New Roman" w:hAnsi="Times New Roman"/>
                <w:sz w:val="24"/>
                <w:szCs w:val="24"/>
              </w:rPr>
              <w:t>.</w:t>
            </w:r>
          </w:p>
        </w:tc>
      </w:tr>
      <w:tr w:rsidR="00796B74" w14:paraId="55605DF6" w14:textId="77777777" w:rsidTr="00DA4696">
        <w:tc>
          <w:tcPr>
            <w:tcW w:w="2853" w:type="dxa"/>
          </w:tcPr>
          <w:p w14:paraId="15284241" w14:textId="2AD87377" w:rsidR="00CE285C" w:rsidRPr="00261C9F" w:rsidRDefault="004E47A2" w:rsidP="0043291D">
            <w:pPr>
              <w:rPr>
                <w:rFonts w:ascii="Times New Roman" w:hAnsi="Times New Roman"/>
                <w:b/>
                <w:bCs/>
                <w:color w:val="0070C0"/>
                <w:sz w:val="24"/>
                <w:szCs w:val="24"/>
              </w:rPr>
            </w:pPr>
            <w:bookmarkStart w:id="9" w:name="_Hlk36564630"/>
            <w:r w:rsidRPr="002F19E8">
              <w:rPr>
                <w:rFonts w:ascii="Times New Roman" w:hAnsi="Times New Roman"/>
                <w:b/>
                <w:bCs/>
                <w:sz w:val="24"/>
                <w:szCs w:val="24"/>
                <w:lang w:val="en-US"/>
              </w:rPr>
              <w:t xml:space="preserve">Eligibility conditions for insurance contracts included in Insurance </w:t>
            </w:r>
            <w:r w:rsidR="0043291D">
              <w:rPr>
                <w:rFonts w:ascii="Times New Roman" w:hAnsi="Times New Roman"/>
                <w:b/>
                <w:bCs/>
                <w:sz w:val="24"/>
                <w:szCs w:val="24"/>
                <w:lang w:val="en-US"/>
              </w:rPr>
              <w:t>p</w:t>
            </w:r>
            <w:r w:rsidRPr="002F19E8">
              <w:rPr>
                <w:rFonts w:ascii="Times New Roman" w:hAnsi="Times New Roman"/>
                <w:b/>
                <w:bCs/>
                <w:sz w:val="24"/>
                <w:szCs w:val="24"/>
                <w:lang w:val="en-US"/>
              </w:rPr>
              <w:t xml:space="preserve">ortfolios </w:t>
            </w:r>
          </w:p>
        </w:tc>
        <w:tc>
          <w:tcPr>
            <w:tcW w:w="6894" w:type="dxa"/>
          </w:tcPr>
          <w:p w14:paraId="44828683" w14:textId="3CB893DF" w:rsidR="00816FB2" w:rsidRDefault="004E47A2" w:rsidP="00816FB2">
            <w:pPr>
              <w:tabs>
                <w:tab w:val="left" w:pos="0"/>
                <w:tab w:val="left" w:pos="271"/>
                <w:tab w:val="left" w:pos="828"/>
              </w:tabs>
              <w:spacing w:after="0" w:line="240" w:lineRule="auto"/>
              <w:contextualSpacing/>
              <w:jc w:val="both"/>
              <w:rPr>
                <w:rFonts w:ascii="Times New Roman" w:hAnsi="Times New Roman"/>
                <w:sz w:val="24"/>
                <w:szCs w:val="24"/>
              </w:rPr>
            </w:pPr>
            <w:r w:rsidRPr="002F19E8">
              <w:rPr>
                <w:rFonts w:ascii="Times New Roman" w:hAnsi="Times New Roman"/>
                <w:sz w:val="24"/>
                <w:szCs w:val="24"/>
                <w:lang w:val="en-US"/>
              </w:rPr>
              <w:t xml:space="preserve">An Insurance </w:t>
            </w:r>
            <w:r w:rsidR="0043291D">
              <w:rPr>
                <w:rFonts w:ascii="Times New Roman" w:hAnsi="Times New Roman"/>
                <w:sz w:val="24"/>
                <w:szCs w:val="24"/>
                <w:lang w:val="en-US"/>
              </w:rPr>
              <w:t>p</w:t>
            </w:r>
            <w:r w:rsidRPr="002F19E8">
              <w:rPr>
                <w:rFonts w:ascii="Times New Roman" w:hAnsi="Times New Roman"/>
                <w:sz w:val="24"/>
                <w:szCs w:val="24"/>
                <w:lang w:val="en-US"/>
              </w:rPr>
              <w:t xml:space="preserve">ortfolio may include Insurance </w:t>
            </w:r>
            <w:r w:rsidR="0043291D">
              <w:rPr>
                <w:rFonts w:ascii="Times New Roman" w:hAnsi="Times New Roman"/>
                <w:sz w:val="24"/>
                <w:szCs w:val="24"/>
                <w:lang w:val="en-US"/>
              </w:rPr>
              <w:t>c</w:t>
            </w:r>
            <w:r w:rsidRPr="002F19E8">
              <w:rPr>
                <w:rFonts w:ascii="Times New Roman" w:hAnsi="Times New Roman"/>
                <w:sz w:val="24"/>
                <w:szCs w:val="24"/>
                <w:lang w:val="en-US"/>
              </w:rPr>
              <w:t>ontracts:</w:t>
            </w:r>
          </w:p>
          <w:p w14:paraId="5E6F33B1" w14:textId="77777777" w:rsidR="00A767CA" w:rsidRDefault="004E47A2" w:rsidP="00A767CA">
            <w:pPr>
              <w:numPr>
                <w:ilvl w:val="0"/>
                <w:numId w:val="17"/>
              </w:num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lang w:val="en-US"/>
              </w:rPr>
              <w:t xml:space="preserve">according to which, the goods were delivered to Lithuanian buyers not earlier than on 1 </w:t>
            </w:r>
            <w:proofErr w:type="gramStart"/>
            <w:r>
              <w:rPr>
                <w:rFonts w:ascii="Times New Roman" w:hAnsi="Times New Roman"/>
                <w:bCs/>
                <w:sz w:val="24"/>
                <w:szCs w:val="24"/>
                <w:lang w:val="en-US"/>
              </w:rPr>
              <w:t>January  2020</w:t>
            </w:r>
            <w:proofErr w:type="gramEnd"/>
            <w:r>
              <w:rPr>
                <w:rFonts w:ascii="Times New Roman" w:hAnsi="Times New Roman"/>
                <w:bCs/>
                <w:sz w:val="24"/>
                <w:szCs w:val="24"/>
                <w:lang w:val="en-US"/>
              </w:rPr>
              <w:t xml:space="preserve"> and no later than on 31 December 2020,</w:t>
            </w:r>
          </w:p>
          <w:p w14:paraId="6B1F00EA" w14:textId="37EEE987" w:rsidR="00A767CA" w:rsidRDefault="004E47A2" w:rsidP="00A767CA">
            <w:pPr>
              <w:numPr>
                <w:ilvl w:val="0"/>
                <w:numId w:val="17"/>
              </w:num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lang w:val="en-US"/>
              </w:rPr>
              <w:t>according to which the goods were sent to foreign buyers not earlier tha</w:t>
            </w:r>
            <w:r w:rsidR="0067394E">
              <w:rPr>
                <w:rFonts w:ascii="Times New Roman" w:hAnsi="Times New Roman"/>
                <w:bCs/>
                <w:sz w:val="24"/>
                <w:szCs w:val="24"/>
                <w:lang w:val="en-US"/>
              </w:rPr>
              <w:t>n</w:t>
            </w:r>
            <w:r>
              <w:rPr>
                <w:rFonts w:ascii="Times New Roman" w:hAnsi="Times New Roman"/>
                <w:bCs/>
                <w:sz w:val="24"/>
                <w:szCs w:val="24"/>
                <w:lang w:val="en-US"/>
              </w:rPr>
              <w:t xml:space="preserve"> on 1 January 2020 and no later than on 31 December 2020,</w:t>
            </w:r>
          </w:p>
          <w:p w14:paraId="1F72F544" w14:textId="69C52AE6" w:rsidR="00A767CA" w:rsidRPr="002F19E8" w:rsidRDefault="004E47A2" w:rsidP="00A767CA">
            <w:pPr>
              <w:numPr>
                <w:ilvl w:val="0"/>
                <w:numId w:val="17"/>
              </w:num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lang w:val="en-US"/>
              </w:rPr>
              <w:t xml:space="preserve">under which services are </w:t>
            </w:r>
            <w:r w:rsidR="00302EC2">
              <w:rPr>
                <w:rFonts w:ascii="Times New Roman" w:hAnsi="Times New Roman"/>
                <w:bCs/>
                <w:sz w:val="24"/>
                <w:szCs w:val="24"/>
                <w:lang w:val="en-US"/>
              </w:rPr>
              <w:t xml:space="preserve">to </w:t>
            </w:r>
            <w:r>
              <w:rPr>
                <w:rFonts w:ascii="Times New Roman" w:hAnsi="Times New Roman"/>
                <w:bCs/>
                <w:sz w:val="24"/>
                <w:szCs w:val="24"/>
                <w:lang w:val="en-US"/>
              </w:rPr>
              <w:t>be provided no earlier than on 1 January 2020 and no later than 31 December 2020,</w:t>
            </w:r>
          </w:p>
          <w:p w14:paraId="1837E6AE" w14:textId="18DBEA1D" w:rsidR="00816FB2" w:rsidRPr="00816FB2" w:rsidRDefault="004E47A2" w:rsidP="001E10C3">
            <w:pPr>
              <w:pStyle w:val="ListParagraph"/>
              <w:numPr>
                <w:ilvl w:val="0"/>
                <w:numId w:val="17"/>
              </w:numPr>
              <w:tabs>
                <w:tab w:val="left" w:pos="0"/>
                <w:tab w:val="left" w:pos="271"/>
                <w:tab w:val="left" w:pos="828"/>
              </w:tabs>
              <w:spacing w:after="0" w:line="240" w:lineRule="auto"/>
              <w:jc w:val="both"/>
              <w:rPr>
                <w:rFonts w:ascii="Times New Roman" w:hAnsi="Times New Roman"/>
                <w:sz w:val="24"/>
                <w:szCs w:val="24"/>
              </w:rPr>
            </w:pPr>
            <w:r>
              <w:rPr>
                <w:rFonts w:ascii="Times New Roman" w:hAnsi="Times New Roman"/>
                <w:sz w:val="24"/>
                <w:szCs w:val="24"/>
                <w:lang w:val="en-US"/>
              </w:rPr>
              <w:t xml:space="preserve">with a maximum deferred payment period of 24 months and a maximum </w:t>
            </w:r>
            <w:r w:rsidR="003A5109">
              <w:rPr>
                <w:rFonts w:ascii="Times New Roman" w:hAnsi="Times New Roman"/>
                <w:sz w:val="24"/>
                <w:szCs w:val="24"/>
                <w:lang w:val="en-US"/>
              </w:rPr>
              <w:t>term</w:t>
            </w:r>
            <w:r>
              <w:rPr>
                <w:rFonts w:ascii="Times New Roman" w:hAnsi="Times New Roman"/>
                <w:sz w:val="24"/>
                <w:szCs w:val="24"/>
                <w:lang w:val="en-US"/>
              </w:rPr>
              <w:t xml:space="preserve"> until 31 December 2022,</w:t>
            </w:r>
          </w:p>
          <w:p w14:paraId="339964CC" w14:textId="77777777" w:rsidR="00816FB2" w:rsidRDefault="004E47A2" w:rsidP="001E10C3">
            <w:pPr>
              <w:pStyle w:val="ListParagraph"/>
              <w:numPr>
                <w:ilvl w:val="0"/>
                <w:numId w:val="17"/>
              </w:numPr>
              <w:tabs>
                <w:tab w:val="left" w:pos="0"/>
                <w:tab w:val="left" w:pos="271"/>
                <w:tab w:val="left" w:pos="828"/>
              </w:tabs>
              <w:spacing w:after="0" w:line="240" w:lineRule="auto"/>
              <w:jc w:val="both"/>
              <w:rPr>
                <w:rFonts w:ascii="Times New Roman" w:hAnsi="Times New Roman"/>
                <w:sz w:val="24"/>
                <w:szCs w:val="24"/>
              </w:rPr>
            </w:pPr>
            <w:r w:rsidRPr="00816FB2">
              <w:rPr>
                <w:rFonts w:ascii="Times New Roman" w:hAnsi="Times New Roman"/>
                <w:sz w:val="24"/>
                <w:szCs w:val="24"/>
                <w:lang w:val="en-US"/>
              </w:rPr>
              <w:t xml:space="preserve">which insure domestic and foreign buyers,  </w:t>
            </w:r>
          </w:p>
          <w:p w14:paraId="1EBCB9CE" w14:textId="77777777" w:rsidR="00816FB2" w:rsidRDefault="004E47A2" w:rsidP="001E10C3">
            <w:pPr>
              <w:pStyle w:val="ListParagraph"/>
              <w:numPr>
                <w:ilvl w:val="0"/>
                <w:numId w:val="17"/>
              </w:numPr>
              <w:tabs>
                <w:tab w:val="left" w:pos="0"/>
                <w:tab w:val="left" w:pos="271"/>
                <w:tab w:val="left" w:pos="828"/>
              </w:tabs>
              <w:spacing w:after="0" w:line="240" w:lineRule="auto"/>
              <w:jc w:val="both"/>
              <w:rPr>
                <w:rFonts w:ascii="Times New Roman" w:hAnsi="Times New Roman"/>
                <w:sz w:val="24"/>
                <w:szCs w:val="24"/>
              </w:rPr>
            </w:pPr>
            <w:r w:rsidRPr="00816FB2">
              <w:rPr>
                <w:rFonts w:ascii="Times New Roman" w:hAnsi="Times New Roman"/>
                <w:sz w:val="24"/>
                <w:szCs w:val="24"/>
                <w:lang w:val="en-US"/>
              </w:rPr>
              <w:t>concluded in accordance with the Insurer's internal procedures and insurance rules,</w:t>
            </w:r>
          </w:p>
          <w:p w14:paraId="4930E98E" w14:textId="78E54C16" w:rsidR="00816FB2" w:rsidRPr="00816FB2" w:rsidRDefault="004E47A2" w:rsidP="001E10C3">
            <w:pPr>
              <w:pStyle w:val="ListParagraph"/>
              <w:numPr>
                <w:ilvl w:val="0"/>
                <w:numId w:val="17"/>
              </w:numPr>
              <w:tabs>
                <w:tab w:val="left" w:pos="0"/>
                <w:tab w:val="left" w:pos="271"/>
                <w:tab w:val="left" w:pos="828"/>
              </w:tabs>
              <w:spacing w:after="0" w:line="240" w:lineRule="auto"/>
              <w:jc w:val="both"/>
              <w:rPr>
                <w:rFonts w:ascii="Times New Roman" w:hAnsi="Times New Roman"/>
                <w:sz w:val="24"/>
                <w:szCs w:val="24"/>
              </w:rPr>
            </w:pPr>
            <w:r w:rsidRPr="00816FB2">
              <w:rPr>
                <w:rFonts w:ascii="Times New Roman" w:hAnsi="Times New Roman"/>
                <w:sz w:val="24"/>
                <w:szCs w:val="24"/>
                <w:lang w:val="en-US"/>
              </w:rPr>
              <w:t xml:space="preserve">for which the Policyholder has paid insurance premiums to the Insurer in accordance with the procedure and deadlines established in the Insurance </w:t>
            </w:r>
            <w:r w:rsidR="0043291D">
              <w:rPr>
                <w:rFonts w:ascii="Times New Roman" w:hAnsi="Times New Roman"/>
                <w:sz w:val="24"/>
                <w:szCs w:val="24"/>
                <w:lang w:val="en-US"/>
              </w:rPr>
              <w:t>c</w:t>
            </w:r>
            <w:r w:rsidRPr="00816FB2">
              <w:rPr>
                <w:rFonts w:ascii="Times New Roman" w:hAnsi="Times New Roman"/>
                <w:sz w:val="24"/>
                <w:szCs w:val="24"/>
                <w:lang w:val="en-US"/>
              </w:rPr>
              <w:t>ontract</w:t>
            </w:r>
            <w:r w:rsidR="00ED0800">
              <w:rPr>
                <w:rFonts w:ascii="Times New Roman" w:hAnsi="Times New Roman"/>
                <w:sz w:val="24"/>
                <w:szCs w:val="24"/>
                <w:lang w:val="en-US"/>
              </w:rPr>
              <w:t>.</w:t>
            </w:r>
          </w:p>
          <w:p w14:paraId="747CBEA1" w14:textId="77777777" w:rsidR="00816FB2" w:rsidRDefault="00816FB2" w:rsidP="00816FB2">
            <w:pPr>
              <w:tabs>
                <w:tab w:val="left" w:pos="0"/>
                <w:tab w:val="left" w:pos="271"/>
                <w:tab w:val="left" w:pos="828"/>
              </w:tabs>
              <w:spacing w:after="0" w:line="240" w:lineRule="auto"/>
              <w:contextualSpacing/>
              <w:jc w:val="both"/>
              <w:rPr>
                <w:rFonts w:ascii="Times New Roman" w:hAnsi="Times New Roman"/>
                <w:sz w:val="24"/>
                <w:szCs w:val="24"/>
              </w:rPr>
            </w:pPr>
          </w:p>
          <w:p w14:paraId="70AA22B7" w14:textId="5C85233D" w:rsidR="002C103B" w:rsidRPr="002F19E8" w:rsidRDefault="004E47A2" w:rsidP="00816FB2">
            <w:pPr>
              <w:tabs>
                <w:tab w:val="left" w:pos="0"/>
                <w:tab w:val="left" w:pos="271"/>
                <w:tab w:val="left" w:pos="828"/>
              </w:tabs>
              <w:spacing w:after="0" w:line="240" w:lineRule="auto"/>
              <w:contextualSpacing/>
              <w:jc w:val="both"/>
              <w:rPr>
                <w:rFonts w:ascii="Times New Roman" w:hAnsi="Times New Roman"/>
                <w:sz w:val="24"/>
                <w:szCs w:val="24"/>
              </w:rPr>
            </w:pPr>
            <w:r w:rsidRPr="002F19E8">
              <w:rPr>
                <w:rFonts w:ascii="Times New Roman" w:hAnsi="Times New Roman"/>
                <w:sz w:val="24"/>
                <w:szCs w:val="24"/>
                <w:lang w:val="en-US"/>
              </w:rPr>
              <w:t xml:space="preserve">Insurance </w:t>
            </w:r>
            <w:r w:rsidR="0043291D">
              <w:rPr>
                <w:rFonts w:ascii="Times New Roman" w:hAnsi="Times New Roman"/>
                <w:sz w:val="24"/>
                <w:szCs w:val="24"/>
                <w:lang w:val="en-US"/>
              </w:rPr>
              <w:t>c</w:t>
            </w:r>
            <w:r w:rsidRPr="002F19E8">
              <w:rPr>
                <w:rFonts w:ascii="Times New Roman" w:hAnsi="Times New Roman"/>
                <w:sz w:val="24"/>
                <w:szCs w:val="24"/>
                <w:lang w:val="en-US"/>
              </w:rPr>
              <w:t xml:space="preserve">ontracts included in the Insurance </w:t>
            </w:r>
            <w:r w:rsidR="0043291D">
              <w:rPr>
                <w:rFonts w:ascii="Times New Roman" w:hAnsi="Times New Roman"/>
                <w:sz w:val="24"/>
                <w:szCs w:val="24"/>
                <w:lang w:val="en-US"/>
              </w:rPr>
              <w:t>p</w:t>
            </w:r>
            <w:r w:rsidRPr="002F19E8">
              <w:rPr>
                <w:rFonts w:ascii="Times New Roman" w:hAnsi="Times New Roman"/>
                <w:sz w:val="24"/>
                <w:szCs w:val="24"/>
                <w:lang w:val="en-US"/>
              </w:rPr>
              <w:t xml:space="preserve">ortfolio shall be subject to the </w:t>
            </w:r>
            <w:r w:rsidR="009D659B">
              <w:rPr>
                <w:rFonts w:ascii="Times New Roman" w:hAnsi="Times New Roman"/>
                <w:sz w:val="24"/>
                <w:szCs w:val="24"/>
                <w:lang w:val="en-US"/>
              </w:rPr>
              <w:t xml:space="preserve">same </w:t>
            </w:r>
            <w:r w:rsidR="009D659B" w:rsidRPr="002F19E8">
              <w:rPr>
                <w:rFonts w:ascii="Times New Roman" w:hAnsi="Times New Roman"/>
                <w:sz w:val="24"/>
                <w:szCs w:val="24"/>
                <w:lang w:val="en-US"/>
              </w:rPr>
              <w:t xml:space="preserve">administration and other fees </w:t>
            </w:r>
            <w:r w:rsidR="009D659B">
              <w:rPr>
                <w:rFonts w:ascii="Times New Roman" w:hAnsi="Times New Roman"/>
                <w:sz w:val="24"/>
                <w:szCs w:val="24"/>
                <w:lang w:val="en-US"/>
              </w:rPr>
              <w:t xml:space="preserve">charged by the </w:t>
            </w:r>
            <w:r w:rsidRPr="002F19E8">
              <w:rPr>
                <w:rFonts w:ascii="Times New Roman" w:hAnsi="Times New Roman"/>
                <w:sz w:val="24"/>
                <w:szCs w:val="24"/>
                <w:lang w:val="en-US"/>
              </w:rPr>
              <w:t xml:space="preserve">TCIPG </w:t>
            </w:r>
            <w:r w:rsidR="003F2A4B">
              <w:rPr>
                <w:rFonts w:ascii="Times New Roman" w:hAnsi="Times New Roman"/>
                <w:sz w:val="24"/>
                <w:szCs w:val="24"/>
                <w:lang w:val="en-US"/>
              </w:rPr>
              <w:t>instrument</w:t>
            </w:r>
            <w:r w:rsidRPr="002F19E8">
              <w:rPr>
                <w:rFonts w:ascii="Times New Roman" w:hAnsi="Times New Roman"/>
                <w:sz w:val="24"/>
                <w:szCs w:val="24"/>
                <w:lang w:val="en-US"/>
              </w:rPr>
              <w:t xml:space="preserve"> manager that are consistent with the normal activities and practices of the TCIPG </w:t>
            </w:r>
            <w:r w:rsidR="003F2A4B">
              <w:rPr>
                <w:rFonts w:ascii="Times New Roman" w:hAnsi="Times New Roman"/>
                <w:sz w:val="24"/>
                <w:szCs w:val="24"/>
                <w:lang w:val="en-US"/>
              </w:rPr>
              <w:t>instrument</w:t>
            </w:r>
            <w:r w:rsidRPr="002F19E8">
              <w:rPr>
                <w:rFonts w:ascii="Times New Roman" w:hAnsi="Times New Roman"/>
                <w:sz w:val="24"/>
                <w:szCs w:val="24"/>
                <w:lang w:val="en-US"/>
              </w:rPr>
              <w:t xml:space="preserve"> manager and were applicable </w:t>
            </w:r>
            <w:r w:rsidR="00E403F6">
              <w:rPr>
                <w:rFonts w:ascii="Times New Roman" w:hAnsi="Times New Roman"/>
                <w:sz w:val="24"/>
                <w:szCs w:val="24"/>
                <w:lang w:val="en-US"/>
              </w:rPr>
              <w:t>on 3</w:t>
            </w:r>
            <w:r w:rsidRPr="002F19E8">
              <w:rPr>
                <w:rFonts w:ascii="Times New Roman" w:hAnsi="Times New Roman"/>
                <w:sz w:val="24"/>
                <w:szCs w:val="24"/>
                <w:lang w:val="en-US"/>
              </w:rPr>
              <w:t xml:space="preserve">1 </w:t>
            </w:r>
            <w:r w:rsidR="00E403F6">
              <w:rPr>
                <w:rFonts w:ascii="Times New Roman" w:hAnsi="Times New Roman"/>
                <w:sz w:val="24"/>
                <w:szCs w:val="24"/>
                <w:lang w:val="en-US"/>
              </w:rPr>
              <w:t>December</w:t>
            </w:r>
            <w:r w:rsidRPr="002F19E8">
              <w:rPr>
                <w:rFonts w:ascii="Times New Roman" w:hAnsi="Times New Roman"/>
                <w:sz w:val="24"/>
                <w:szCs w:val="24"/>
                <w:lang w:val="en-US"/>
              </w:rPr>
              <w:t xml:space="preserve"> 20</w:t>
            </w:r>
            <w:r w:rsidR="00E403F6">
              <w:rPr>
                <w:rFonts w:ascii="Times New Roman" w:hAnsi="Times New Roman"/>
                <w:sz w:val="24"/>
                <w:szCs w:val="24"/>
                <w:lang w:val="en-US"/>
              </w:rPr>
              <w:t>19</w:t>
            </w:r>
            <w:r w:rsidRPr="002F19E8">
              <w:rPr>
                <w:rFonts w:ascii="Times New Roman" w:hAnsi="Times New Roman"/>
                <w:sz w:val="24"/>
                <w:szCs w:val="24"/>
                <w:lang w:val="en-US"/>
              </w:rPr>
              <w:t xml:space="preserve">. </w:t>
            </w:r>
          </w:p>
          <w:p w14:paraId="4A02CCFA" w14:textId="77777777" w:rsidR="00D034E5" w:rsidRPr="00D034E5" w:rsidRDefault="00D034E5" w:rsidP="00D034E5">
            <w:pPr>
              <w:tabs>
                <w:tab w:val="left" w:pos="-107"/>
                <w:tab w:val="left" w:pos="271"/>
                <w:tab w:val="left" w:pos="406"/>
              </w:tabs>
              <w:spacing w:after="0" w:line="240" w:lineRule="auto"/>
              <w:ind w:left="85"/>
              <w:contextualSpacing/>
              <w:jc w:val="both"/>
              <w:rPr>
                <w:rFonts w:ascii="Times New Roman" w:hAnsi="Times New Roman"/>
                <w:sz w:val="24"/>
                <w:szCs w:val="24"/>
              </w:rPr>
            </w:pPr>
          </w:p>
          <w:p w14:paraId="687E6E75" w14:textId="04134252" w:rsidR="00CE285C" w:rsidRPr="00CE285C" w:rsidRDefault="009D659B" w:rsidP="00CE285C">
            <w:pPr>
              <w:tabs>
                <w:tab w:val="left" w:pos="-107"/>
                <w:tab w:val="left" w:pos="271"/>
                <w:tab w:val="left" w:pos="406"/>
              </w:tabs>
              <w:spacing w:after="0" w:line="240" w:lineRule="auto"/>
              <w:contextualSpacing/>
              <w:jc w:val="both"/>
              <w:rPr>
                <w:rFonts w:ascii="Times New Roman" w:hAnsi="Times New Roman"/>
                <w:sz w:val="24"/>
                <w:szCs w:val="24"/>
              </w:rPr>
            </w:pPr>
            <w:r>
              <w:rPr>
                <w:rFonts w:ascii="Times New Roman" w:hAnsi="Times New Roman"/>
                <w:sz w:val="24"/>
                <w:szCs w:val="24"/>
                <w:lang w:val="en-US"/>
              </w:rPr>
              <w:lastRenderedPageBreak/>
              <w:t>V</w:t>
            </w:r>
            <w:r w:rsidR="004E47A2" w:rsidRPr="00E359DF">
              <w:rPr>
                <w:rFonts w:ascii="Times New Roman" w:hAnsi="Times New Roman"/>
                <w:sz w:val="24"/>
                <w:szCs w:val="24"/>
                <w:lang w:val="en-US"/>
              </w:rPr>
              <w:t xml:space="preserve">iolation of the eligibility conditions for the inclusion of Insurance </w:t>
            </w:r>
            <w:r w:rsidR="003D2BF0">
              <w:rPr>
                <w:rFonts w:ascii="Times New Roman" w:hAnsi="Times New Roman"/>
                <w:sz w:val="24"/>
                <w:szCs w:val="24"/>
                <w:lang w:val="en-US"/>
              </w:rPr>
              <w:t>c</w:t>
            </w:r>
            <w:r w:rsidR="004E47A2" w:rsidRPr="00E359DF">
              <w:rPr>
                <w:rFonts w:ascii="Times New Roman" w:hAnsi="Times New Roman"/>
                <w:sz w:val="24"/>
                <w:szCs w:val="24"/>
                <w:lang w:val="en-US"/>
              </w:rPr>
              <w:t xml:space="preserve">ontracts in the Insurance </w:t>
            </w:r>
            <w:r w:rsidR="003D2BF0">
              <w:rPr>
                <w:rFonts w:ascii="Times New Roman" w:hAnsi="Times New Roman"/>
                <w:sz w:val="24"/>
                <w:szCs w:val="24"/>
                <w:lang w:val="en-US"/>
              </w:rPr>
              <w:t>p</w:t>
            </w:r>
            <w:r w:rsidR="004E47A2" w:rsidRPr="00E359DF">
              <w:rPr>
                <w:rFonts w:ascii="Times New Roman" w:hAnsi="Times New Roman"/>
                <w:sz w:val="24"/>
                <w:szCs w:val="24"/>
                <w:lang w:val="en-US"/>
              </w:rPr>
              <w:t xml:space="preserve">ortfolio </w:t>
            </w:r>
            <w:r>
              <w:rPr>
                <w:rFonts w:ascii="Times New Roman" w:hAnsi="Times New Roman"/>
                <w:sz w:val="24"/>
                <w:szCs w:val="24"/>
                <w:lang w:val="en-US"/>
              </w:rPr>
              <w:t>shall</w:t>
            </w:r>
            <w:r w:rsidR="004E47A2" w:rsidRPr="00E359DF">
              <w:rPr>
                <w:rFonts w:ascii="Times New Roman" w:hAnsi="Times New Roman"/>
                <w:sz w:val="24"/>
                <w:szCs w:val="24"/>
                <w:lang w:val="en-US"/>
              </w:rPr>
              <w:t xml:space="preserve"> result in the cancellation of the unused amount of the TCIPG </w:t>
            </w:r>
            <w:r w:rsidR="003F2A4B">
              <w:rPr>
                <w:rFonts w:ascii="Times New Roman" w:hAnsi="Times New Roman"/>
                <w:sz w:val="24"/>
                <w:szCs w:val="24"/>
                <w:lang w:val="en-US"/>
              </w:rPr>
              <w:t>instrument</w:t>
            </w:r>
            <w:r w:rsidR="004E47A2" w:rsidRPr="00E359DF">
              <w:rPr>
                <w:rFonts w:ascii="Times New Roman" w:hAnsi="Times New Roman"/>
                <w:sz w:val="24"/>
                <w:szCs w:val="24"/>
                <w:lang w:val="en-US"/>
              </w:rPr>
              <w:t xml:space="preserve"> funds allocated to the TCIPG </w:t>
            </w:r>
            <w:r w:rsidR="003F2A4B">
              <w:rPr>
                <w:rFonts w:ascii="Times New Roman" w:hAnsi="Times New Roman"/>
                <w:sz w:val="24"/>
                <w:szCs w:val="24"/>
                <w:lang w:val="en-US"/>
              </w:rPr>
              <w:t>instrument</w:t>
            </w:r>
            <w:r w:rsidR="004E47A2" w:rsidRPr="00E359DF">
              <w:rPr>
                <w:rFonts w:ascii="Times New Roman" w:hAnsi="Times New Roman"/>
                <w:sz w:val="24"/>
                <w:szCs w:val="24"/>
                <w:lang w:val="en-US"/>
              </w:rPr>
              <w:t xml:space="preserve"> manager</w:t>
            </w:r>
          </w:p>
        </w:tc>
      </w:tr>
      <w:bookmarkEnd w:id="9"/>
      <w:tr w:rsidR="00796B74" w14:paraId="7FA6EF4A" w14:textId="77777777" w:rsidTr="00DA4696">
        <w:tc>
          <w:tcPr>
            <w:tcW w:w="2853" w:type="dxa"/>
          </w:tcPr>
          <w:p w14:paraId="6D018FF0" w14:textId="321F9EC3" w:rsidR="00CE285C" w:rsidRPr="002F19E8" w:rsidRDefault="004E47A2" w:rsidP="001C575D">
            <w:pPr>
              <w:rPr>
                <w:rFonts w:ascii="Times New Roman" w:hAnsi="Times New Roman"/>
                <w:b/>
                <w:sz w:val="24"/>
                <w:szCs w:val="24"/>
              </w:rPr>
            </w:pPr>
            <w:r w:rsidRPr="002F19E8">
              <w:rPr>
                <w:rFonts w:ascii="Times New Roman" w:hAnsi="Times New Roman"/>
                <w:b/>
                <w:sz w:val="24"/>
                <w:szCs w:val="24"/>
                <w:lang w:val="en-US"/>
              </w:rPr>
              <w:lastRenderedPageBreak/>
              <w:t xml:space="preserve">Withdrawal of </w:t>
            </w:r>
            <w:r w:rsidR="009D659B">
              <w:rPr>
                <w:rFonts w:ascii="Times New Roman" w:hAnsi="Times New Roman"/>
                <w:b/>
                <w:sz w:val="24"/>
                <w:szCs w:val="24"/>
                <w:lang w:val="en-US"/>
              </w:rPr>
              <w:t>I</w:t>
            </w:r>
            <w:r w:rsidRPr="002F19E8">
              <w:rPr>
                <w:rFonts w:ascii="Times New Roman" w:hAnsi="Times New Roman"/>
                <w:b/>
                <w:sz w:val="24"/>
                <w:szCs w:val="24"/>
                <w:lang w:val="en-US"/>
              </w:rPr>
              <w:t xml:space="preserve">nsurance </w:t>
            </w:r>
            <w:r w:rsidR="0043291D">
              <w:rPr>
                <w:rFonts w:ascii="Times New Roman" w:hAnsi="Times New Roman"/>
                <w:b/>
                <w:sz w:val="24"/>
                <w:szCs w:val="24"/>
                <w:lang w:val="en-US"/>
              </w:rPr>
              <w:t>c</w:t>
            </w:r>
            <w:r w:rsidRPr="002F19E8">
              <w:rPr>
                <w:rFonts w:ascii="Times New Roman" w:hAnsi="Times New Roman"/>
                <w:b/>
                <w:sz w:val="24"/>
                <w:szCs w:val="24"/>
                <w:lang w:val="en-US"/>
              </w:rPr>
              <w:t xml:space="preserve">ontracts from the Insurance </w:t>
            </w:r>
            <w:r w:rsidR="0043291D">
              <w:rPr>
                <w:rFonts w:ascii="Times New Roman" w:hAnsi="Times New Roman"/>
                <w:b/>
                <w:sz w:val="24"/>
                <w:szCs w:val="24"/>
                <w:lang w:val="en-US"/>
              </w:rPr>
              <w:t>p</w:t>
            </w:r>
            <w:r w:rsidRPr="002F19E8">
              <w:rPr>
                <w:rFonts w:ascii="Times New Roman" w:hAnsi="Times New Roman"/>
                <w:b/>
                <w:sz w:val="24"/>
                <w:szCs w:val="24"/>
                <w:lang w:val="en-US"/>
              </w:rPr>
              <w:t>ortfolio</w:t>
            </w:r>
          </w:p>
        </w:tc>
        <w:tc>
          <w:tcPr>
            <w:tcW w:w="6894" w:type="dxa"/>
          </w:tcPr>
          <w:p w14:paraId="6FFBE7C4" w14:textId="07353AF5" w:rsidR="00CE285C" w:rsidRPr="002F19E8" w:rsidRDefault="000A3701" w:rsidP="00CE285C">
            <w:pPr>
              <w:tabs>
                <w:tab w:val="left" w:pos="412"/>
              </w:tabs>
              <w:spacing w:after="0" w:line="240" w:lineRule="auto"/>
              <w:contextualSpacing/>
              <w:jc w:val="both"/>
              <w:rPr>
                <w:rFonts w:ascii="Times New Roman" w:hAnsi="Times New Roman"/>
                <w:sz w:val="24"/>
                <w:szCs w:val="24"/>
              </w:rPr>
            </w:pPr>
            <w:r w:rsidRPr="000A3701">
              <w:rPr>
                <w:rFonts w:ascii="Times New Roman" w:hAnsi="Times New Roman"/>
                <w:sz w:val="24"/>
                <w:szCs w:val="24"/>
                <w:lang w:val="en-US"/>
              </w:rPr>
              <w:t xml:space="preserve">If the Insurance </w:t>
            </w:r>
            <w:r>
              <w:rPr>
                <w:rFonts w:ascii="Times New Roman" w:hAnsi="Times New Roman"/>
                <w:sz w:val="24"/>
                <w:szCs w:val="24"/>
                <w:lang w:val="en-US"/>
              </w:rPr>
              <w:t>c</w:t>
            </w:r>
            <w:r w:rsidRPr="000A3701">
              <w:rPr>
                <w:rFonts w:ascii="Times New Roman" w:hAnsi="Times New Roman"/>
                <w:sz w:val="24"/>
                <w:szCs w:val="24"/>
                <w:lang w:val="en-US"/>
              </w:rPr>
              <w:t xml:space="preserve">ontract has been incorrectly included in the Insurance </w:t>
            </w:r>
            <w:r>
              <w:rPr>
                <w:rFonts w:ascii="Times New Roman" w:hAnsi="Times New Roman"/>
                <w:sz w:val="24"/>
                <w:szCs w:val="24"/>
                <w:lang w:val="en-US"/>
              </w:rPr>
              <w:t>p</w:t>
            </w:r>
            <w:r w:rsidRPr="000A3701">
              <w:rPr>
                <w:rFonts w:ascii="Times New Roman" w:hAnsi="Times New Roman"/>
                <w:sz w:val="24"/>
                <w:szCs w:val="24"/>
                <w:lang w:val="en-US"/>
              </w:rPr>
              <w:t xml:space="preserve">ortfolio </w:t>
            </w:r>
            <w:r>
              <w:rPr>
                <w:rFonts w:ascii="Times New Roman" w:hAnsi="Times New Roman"/>
                <w:sz w:val="24"/>
                <w:szCs w:val="24"/>
                <w:lang w:val="en-US"/>
              </w:rPr>
              <w:t>(</w:t>
            </w:r>
            <w:r w:rsidR="0089613B" w:rsidRPr="0089613B">
              <w:rPr>
                <w:rFonts w:ascii="Times New Roman" w:hAnsi="Times New Roman"/>
                <w:sz w:val="24"/>
                <w:szCs w:val="24"/>
                <w:lang w:val="en-US"/>
              </w:rPr>
              <w:t xml:space="preserve">Insurance </w:t>
            </w:r>
            <w:r w:rsidR="0089613B">
              <w:rPr>
                <w:rFonts w:ascii="Times New Roman" w:hAnsi="Times New Roman"/>
                <w:sz w:val="24"/>
                <w:szCs w:val="24"/>
                <w:lang w:val="en-US"/>
              </w:rPr>
              <w:t>c</w:t>
            </w:r>
            <w:r w:rsidR="0089613B" w:rsidRPr="0089613B">
              <w:rPr>
                <w:rFonts w:ascii="Times New Roman" w:hAnsi="Times New Roman"/>
                <w:sz w:val="24"/>
                <w:szCs w:val="24"/>
                <w:lang w:val="en-US"/>
              </w:rPr>
              <w:t xml:space="preserve">ontract did not comply with the Eligibility </w:t>
            </w:r>
            <w:r w:rsidR="0089613B">
              <w:rPr>
                <w:rFonts w:ascii="Times New Roman" w:hAnsi="Times New Roman"/>
                <w:sz w:val="24"/>
                <w:szCs w:val="24"/>
                <w:lang w:val="en-US"/>
              </w:rPr>
              <w:t>c</w:t>
            </w:r>
            <w:r w:rsidR="0089613B" w:rsidRPr="0089613B">
              <w:rPr>
                <w:rFonts w:ascii="Times New Roman" w:hAnsi="Times New Roman"/>
                <w:sz w:val="24"/>
                <w:szCs w:val="24"/>
                <w:lang w:val="en-US"/>
              </w:rPr>
              <w:t xml:space="preserve">onditions at the time of inclusion in the Insurance </w:t>
            </w:r>
            <w:r w:rsidR="0089613B">
              <w:rPr>
                <w:rFonts w:ascii="Times New Roman" w:hAnsi="Times New Roman"/>
                <w:sz w:val="24"/>
                <w:szCs w:val="24"/>
                <w:lang w:val="en-US"/>
              </w:rPr>
              <w:t>p</w:t>
            </w:r>
            <w:r w:rsidR="0089613B" w:rsidRPr="0089613B">
              <w:rPr>
                <w:rFonts w:ascii="Times New Roman" w:hAnsi="Times New Roman"/>
                <w:sz w:val="24"/>
                <w:szCs w:val="24"/>
                <w:lang w:val="en-US"/>
              </w:rPr>
              <w:t>ortfolio</w:t>
            </w:r>
            <w:r>
              <w:rPr>
                <w:rFonts w:ascii="Times New Roman" w:hAnsi="Times New Roman"/>
                <w:sz w:val="24"/>
                <w:szCs w:val="24"/>
                <w:lang w:val="en-US"/>
              </w:rPr>
              <w:t>)</w:t>
            </w:r>
            <w:r w:rsidR="004E47A2" w:rsidRPr="002F19E8">
              <w:rPr>
                <w:rFonts w:ascii="Times New Roman" w:hAnsi="Times New Roman"/>
                <w:sz w:val="24"/>
                <w:szCs w:val="24"/>
                <w:lang w:val="en-US"/>
              </w:rPr>
              <w:t xml:space="preserve">, it must be removed from the Insurance </w:t>
            </w:r>
            <w:r w:rsidR="0043291D">
              <w:rPr>
                <w:rFonts w:ascii="Times New Roman" w:hAnsi="Times New Roman"/>
                <w:sz w:val="24"/>
                <w:szCs w:val="24"/>
                <w:lang w:val="en-US"/>
              </w:rPr>
              <w:t>p</w:t>
            </w:r>
            <w:r w:rsidR="004E47A2" w:rsidRPr="002F19E8">
              <w:rPr>
                <w:rFonts w:ascii="Times New Roman" w:hAnsi="Times New Roman"/>
                <w:sz w:val="24"/>
                <w:szCs w:val="24"/>
                <w:lang w:val="en-US"/>
              </w:rPr>
              <w:t xml:space="preserve">ortfolio and the amount of the actual formed Insurance </w:t>
            </w:r>
            <w:r w:rsidR="0043291D">
              <w:rPr>
                <w:rFonts w:ascii="Times New Roman" w:hAnsi="Times New Roman"/>
                <w:sz w:val="24"/>
                <w:szCs w:val="24"/>
                <w:lang w:val="en-US"/>
              </w:rPr>
              <w:t>p</w:t>
            </w:r>
            <w:r w:rsidR="004E47A2" w:rsidRPr="002F19E8">
              <w:rPr>
                <w:rFonts w:ascii="Times New Roman" w:hAnsi="Times New Roman"/>
                <w:sz w:val="24"/>
                <w:szCs w:val="24"/>
                <w:lang w:val="en-US"/>
              </w:rPr>
              <w:t xml:space="preserve">ortfolio must be reduced (adjusted) accordingly. </w:t>
            </w:r>
          </w:p>
          <w:p w14:paraId="2DF73487" w14:textId="52F06D99" w:rsidR="00CE285C" w:rsidRPr="002F19E8" w:rsidRDefault="004E47A2" w:rsidP="00CE285C">
            <w:pPr>
              <w:tabs>
                <w:tab w:val="left" w:pos="412"/>
              </w:tabs>
              <w:spacing w:after="0" w:line="240" w:lineRule="auto"/>
              <w:contextualSpacing/>
              <w:jc w:val="both"/>
              <w:rPr>
                <w:rFonts w:ascii="Times New Roman" w:hAnsi="Times New Roman"/>
                <w:sz w:val="24"/>
                <w:szCs w:val="24"/>
              </w:rPr>
            </w:pPr>
            <w:r w:rsidRPr="002F19E8">
              <w:rPr>
                <w:rFonts w:ascii="Times New Roman" w:hAnsi="Times New Roman"/>
                <w:sz w:val="24"/>
                <w:szCs w:val="24"/>
                <w:lang w:val="en-US"/>
              </w:rPr>
              <w:t xml:space="preserve">The manager of the TCIPG </w:t>
            </w:r>
            <w:r w:rsidR="003F2A4B">
              <w:rPr>
                <w:rFonts w:ascii="Times New Roman" w:hAnsi="Times New Roman"/>
                <w:sz w:val="24"/>
                <w:szCs w:val="24"/>
                <w:lang w:val="en-US"/>
              </w:rPr>
              <w:t>instrument</w:t>
            </w:r>
            <w:r w:rsidRPr="002F19E8">
              <w:rPr>
                <w:rFonts w:ascii="Times New Roman" w:hAnsi="Times New Roman"/>
                <w:sz w:val="24"/>
                <w:szCs w:val="24"/>
                <w:lang w:val="en-US"/>
              </w:rPr>
              <w:t xml:space="preserve"> must notify Invega that the Insurance </w:t>
            </w:r>
            <w:r w:rsidR="0043291D">
              <w:rPr>
                <w:rFonts w:ascii="Times New Roman" w:hAnsi="Times New Roman"/>
                <w:sz w:val="24"/>
                <w:szCs w:val="24"/>
                <w:lang w:val="en-US"/>
              </w:rPr>
              <w:t>c</w:t>
            </w:r>
            <w:r w:rsidRPr="002F19E8">
              <w:rPr>
                <w:rFonts w:ascii="Times New Roman" w:hAnsi="Times New Roman"/>
                <w:sz w:val="24"/>
                <w:szCs w:val="24"/>
                <w:lang w:val="en-US"/>
              </w:rPr>
              <w:t xml:space="preserve">ontract is withdrawn from the Insurance </w:t>
            </w:r>
            <w:r w:rsidR="003D2BF0">
              <w:rPr>
                <w:rFonts w:ascii="Times New Roman" w:hAnsi="Times New Roman"/>
                <w:sz w:val="24"/>
                <w:szCs w:val="24"/>
                <w:lang w:val="en-US"/>
              </w:rPr>
              <w:t>p</w:t>
            </w:r>
            <w:r w:rsidRPr="002F19E8">
              <w:rPr>
                <w:rFonts w:ascii="Times New Roman" w:hAnsi="Times New Roman"/>
                <w:sz w:val="24"/>
                <w:szCs w:val="24"/>
                <w:lang w:val="en-US"/>
              </w:rPr>
              <w:t xml:space="preserve">ortfolio and the Insurer </w:t>
            </w:r>
            <w:r w:rsidR="009D659B">
              <w:rPr>
                <w:rFonts w:ascii="Times New Roman" w:hAnsi="Times New Roman"/>
                <w:sz w:val="24"/>
                <w:szCs w:val="24"/>
                <w:lang w:val="en-US"/>
              </w:rPr>
              <w:t xml:space="preserve">shall </w:t>
            </w:r>
            <w:r w:rsidRPr="002F19E8">
              <w:rPr>
                <w:rFonts w:ascii="Times New Roman" w:hAnsi="Times New Roman"/>
                <w:sz w:val="24"/>
                <w:szCs w:val="24"/>
                <w:lang w:val="en-US"/>
              </w:rPr>
              <w:t xml:space="preserve">reduce (adjust) the amount of the actually formed Insurance </w:t>
            </w:r>
            <w:r w:rsidR="0043291D">
              <w:rPr>
                <w:rFonts w:ascii="Times New Roman" w:hAnsi="Times New Roman"/>
                <w:sz w:val="24"/>
                <w:szCs w:val="24"/>
                <w:lang w:val="en-US"/>
              </w:rPr>
              <w:t>p</w:t>
            </w:r>
            <w:r w:rsidRPr="002F19E8">
              <w:rPr>
                <w:rFonts w:ascii="Times New Roman" w:hAnsi="Times New Roman"/>
                <w:sz w:val="24"/>
                <w:szCs w:val="24"/>
                <w:lang w:val="en-US"/>
              </w:rPr>
              <w:t xml:space="preserve">ortfolio accordingly. Invega shall return to the TCIPG </w:t>
            </w:r>
            <w:r w:rsidR="003F2A4B">
              <w:rPr>
                <w:rFonts w:ascii="Times New Roman" w:hAnsi="Times New Roman"/>
                <w:sz w:val="24"/>
                <w:szCs w:val="24"/>
                <w:lang w:val="en-US"/>
              </w:rPr>
              <w:t>instrument</w:t>
            </w:r>
            <w:r w:rsidRPr="002F19E8">
              <w:rPr>
                <w:rFonts w:ascii="Times New Roman" w:hAnsi="Times New Roman"/>
                <w:sz w:val="24"/>
                <w:szCs w:val="24"/>
                <w:lang w:val="en-US"/>
              </w:rPr>
              <w:t xml:space="preserve"> manager the </w:t>
            </w:r>
            <w:r w:rsidR="009D659B">
              <w:rPr>
                <w:rFonts w:ascii="Times New Roman" w:hAnsi="Times New Roman"/>
                <w:sz w:val="24"/>
                <w:szCs w:val="24"/>
                <w:lang w:val="en-US"/>
              </w:rPr>
              <w:t>t</w:t>
            </w:r>
            <w:r w:rsidRPr="002F19E8">
              <w:rPr>
                <w:rFonts w:ascii="Times New Roman" w:hAnsi="Times New Roman"/>
                <w:sz w:val="24"/>
                <w:szCs w:val="24"/>
                <w:lang w:val="en-US"/>
              </w:rPr>
              <w:t xml:space="preserve">ransferred </w:t>
            </w:r>
            <w:r w:rsidR="009D659B">
              <w:rPr>
                <w:rFonts w:ascii="Times New Roman" w:hAnsi="Times New Roman"/>
                <w:sz w:val="24"/>
                <w:szCs w:val="24"/>
                <w:lang w:val="en-US"/>
              </w:rPr>
              <w:t>i</w:t>
            </w:r>
            <w:r w:rsidRPr="002F19E8">
              <w:rPr>
                <w:rFonts w:ascii="Times New Roman" w:hAnsi="Times New Roman"/>
                <w:sz w:val="24"/>
                <w:szCs w:val="24"/>
                <w:lang w:val="en-US"/>
              </w:rPr>
              <w:t xml:space="preserve">nsurance </w:t>
            </w:r>
            <w:r w:rsidR="009D659B">
              <w:rPr>
                <w:rFonts w:ascii="Times New Roman" w:hAnsi="Times New Roman"/>
                <w:sz w:val="24"/>
                <w:szCs w:val="24"/>
                <w:lang w:val="en-US"/>
              </w:rPr>
              <w:t>p</w:t>
            </w:r>
            <w:r w:rsidRPr="002F19E8">
              <w:rPr>
                <w:rFonts w:ascii="Times New Roman" w:hAnsi="Times New Roman"/>
                <w:sz w:val="24"/>
                <w:szCs w:val="24"/>
                <w:lang w:val="en-US"/>
              </w:rPr>
              <w:t xml:space="preserve">remiums for Insurance </w:t>
            </w:r>
            <w:r w:rsidR="0043291D">
              <w:rPr>
                <w:rFonts w:ascii="Times New Roman" w:hAnsi="Times New Roman"/>
                <w:sz w:val="24"/>
                <w:szCs w:val="24"/>
                <w:lang w:val="en-US"/>
              </w:rPr>
              <w:t>c</w:t>
            </w:r>
            <w:r w:rsidRPr="002F19E8">
              <w:rPr>
                <w:rFonts w:ascii="Times New Roman" w:hAnsi="Times New Roman"/>
                <w:sz w:val="24"/>
                <w:szCs w:val="24"/>
                <w:lang w:val="en-US"/>
              </w:rPr>
              <w:t xml:space="preserve">ontracts withdrawn from the Insurance </w:t>
            </w:r>
            <w:r w:rsidR="0043291D">
              <w:rPr>
                <w:rFonts w:ascii="Times New Roman" w:hAnsi="Times New Roman"/>
                <w:sz w:val="24"/>
                <w:szCs w:val="24"/>
                <w:lang w:val="en-US"/>
              </w:rPr>
              <w:t>p</w:t>
            </w:r>
            <w:r w:rsidRPr="002F19E8">
              <w:rPr>
                <w:rFonts w:ascii="Times New Roman" w:hAnsi="Times New Roman"/>
                <w:sz w:val="24"/>
                <w:szCs w:val="24"/>
                <w:lang w:val="en-US"/>
              </w:rPr>
              <w:t>ortfolio</w:t>
            </w:r>
          </w:p>
        </w:tc>
      </w:tr>
      <w:tr w:rsidR="00796B74" w14:paraId="35A49149" w14:textId="77777777" w:rsidTr="00DA4696">
        <w:tc>
          <w:tcPr>
            <w:tcW w:w="2853" w:type="dxa"/>
          </w:tcPr>
          <w:p w14:paraId="4F2991C1" w14:textId="77777777" w:rsidR="00CE285C" w:rsidRPr="002F19E8" w:rsidRDefault="004E47A2" w:rsidP="00CE285C">
            <w:pPr>
              <w:rPr>
                <w:rFonts w:ascii="Times New Roman" w:hAnsi="Times New Roman"/>
                <w:b/>
                <w:sz w:val="24"/>
                <w:szCs w:val="24"/>
              </w:rPr>
            </w:pPr>
            <w:r w:rsidRPr="002F19E8">
              <w:rPr>
                <w:rFonts w:ascii="Times New Roman" w:hAnsi="Times New Roman"/>
                <w:b/>
                <w:sz w:val="24"/>
                <w:szCs w:val="24"/>
                <w:lang w:val="en-US"/>
              </w:rPr>
              <w:t xml:space="preserve">State aid </w:t>
            </w:r>
          </w:p>
        </w:tc>
        <w:tc>
          <w:tcPr>
            <w:tcW w:w="6894" w:type="dxa"/>
          </w:tcPr>
          <w:p w14:paraId="08C9829E" w14:textId="72568F31" w:rsidR="00CE285C" w:rsidRPr="002F19E8" w:rsidRDefault="004E47A2" w:rsidP="00CE285C">
            <w:pPr>
              <w:spacing w:line="240" w:lineRule="auto"/>
              <w:jc w:val="both"/>
              <w:rPr>
                <w:rFonts w:ascii="Times New Roman" w:hAnsi="Times New Roman"/>
                <w:sz w:val="24"/>
                <w:szCs w:val="24"/>
              </w:rPr>
            </w:pPr>
            <w:r w:rsidRPr="00DA4480">
              <w:rPr>
                <w:rFonts w:ascii="Times New Roman" w:hAnsi="Times New Roman"/>
                <w:sz w:val="24"/>
                <w:szCs w:val="24"/>
                <w:lang w:val="en-US"/>
              </w:rPr>
              <w:t xml:space="preserve">The coverage of losses under the TCIPG </w:t>
            </w:r>
            <w:r w:rsidR="003F2A4B">
              <w:rPr>
                <w:rFonts w:ascii="Times New Roman" w:hAnsi="Times New Roman"/>
                <w:sz w:val="24"/>
                <w:szCs w:val="24"/>
                <w:lang w:val="en-US"/>
              </w:rPr>
              <w:t>instrument</w:t>
            </w:r>
            <w:r w:rsidRPr="00DA4480">
              <w:rPr>
                <w:rFonts w:ascii="Times New Roman" w:hAnsi="Times New Roman"/>
                <w:sz w:val="24"/>
                <w:szCs w:val="24"/>
                <w:lang w:val="en-US"/>
              </w:rPr>
              <w:t xml:space="preserve"> </w:t>
            </w:r>
            <w:r w:rsidR="009D659B">
              <w:rPr>
                <w:rFonts w:ascii="Times New Roman" w:hAnsi="Times New Roman"/>
                <w:sz w:val="24"/>
                <w:szCs w:val="24"/>
                <w:lang w:val="en-US"/>
              </w:rPr>
              <w:t xml:space="preserve">shall constitute </w:t>
            </w:r>
            <w:r w:rsidR="00A50972">
              <w:rPr>
                <w:rFonts w:ascii="Times New Roman" w:hAnsi="Times New Roman"/>
                <w:sz w:val="24"/>
                <w:szCs w:val="24"/>
                <w:lang w:val="en-US"/>
              </w:rPr>
              <w:t>aid</w:t>
            </w:r>
            <w:r w:rsidR="00A50972" w:rsidRPr="00DA4480">
              <w:rPr>
                <w:rFonts w:ascii="Times New Roman" w:hAnsi="Times New Roman"/>
                <w:sz w:val="24"/>
                <w:szCs w:val="24"/>
                <w:lang w:val="en-US"/>
              </w:rPr>
              <w:t xml:space="preserve"> </w:t>
            </w:r>
            <w:r w:rsidRPr="00DA4480">
              <w:rPr>
                <w:rFonts w:ascii="Times New Roman" w:hAnsi="Times New Roman"/>
                <w:sz w:val="24"/>
                <w:szCs w:val="24"/>
                <w:lang w:val="en-US"/>
              </w:rPr>
              <w:t xml:space="preserve">to Policyholders </w:t>
            </w:r>
            <w:r w:rsidR="009D659B">
              <w:rPr>
                <w:rFonts w:ascii="Times New Roman" w:hAnsi="Times New Roman"/>
                <w:sz w:val="24"/>
                <w:szCs w:val="24"/>
                <w:lang w:val="en-US"/>
              </w:rPr>
              <w:t xml:space="preserve">that is </w:t>
            </w:r>
            <w:r w:rsidRPr="00DA4480">
              <w:rPr>
                <w:rFonts w:ascii="Times New Roman" w:hAnsi="Times New Roman"/>
                <w:sz w:val="24"/>
                <w:szCs w:val="24"/>
                <w:lang w:val="en-US"/>
              </w:rPr>
              <w:t xml:space="preserve">provided under the Communication </w:t>
            </w:r>
          </w:p>
        </w:tc>
      </w:tr>
      <w:tr w:rsidR="00796B74" w14:paraId="7BDB2805" w14:textId="77777777" w:rsidTr="00DA4696">
        <w:tc>
          <w:tcPr>
            <w:tcW w:w="2853" w:type="dxa"/>
          </w:tcPr>
          <w:p w14:paraId="0566659B" w14:textId="77777777" w:rsidR="00CE285C" w:rsidRPr="002F19E8" w:rsidRDefault="004E47A2" w:rsidP="00CE285C">
            <w:pPr>
              <w:autoSpaceDE w:val="0"/>
              <w:autoSpaceDN w:val="0"/>
              <w:spacing w:after="0" w:line="240" w:lineRule="auto"/>
              <w:contextualSpacing/>
              <w:jc w:val="both"/>
              <w:rPr>
                <w:rFonts w:ascii="Times New Roman" w:hAnsi="Times New Roman"/>
                <w:sz w:val="24"/>
                <w:szCs w:val="24"/>
              </w:rPr>
            </w:pPr>
            <w:r w:rsidRPr="002F19E8">
              <w:rPr>
                <w:rFonts w:ascii="Times New Roman" w:hAnsi="Times New Roman"/>
                <w:b/>
                <w:sz w:val="24"/>
                <w:szCs w:val="24"/>
                <w:lang w:val="en-US"/>
              </w:rPr>
              <w:t>Publicity</w:t>
            </w:r>
          </w:p>
        </w:tc>
        <w:tc>
          <w:tcPr>
            <w:tcW w:w="6894" w:type="dxa"/>
          </w:tcPr>
          <w:p w14:paraId="445494BE" w14:textId="60C85E50" w:rsidR="00CE285C" w:rsidRPr="002F19E8" w:rsidRDefault="009D659B" w:rsidP="00CE285C">
            <w:pPr>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lang w:val="en-US"/>
              </w:rPr>
              <w:t>M</w:t>
            </w:r>
            <w:r w:rsidR="004E47A2" w:rsidRPr="002F19E8">
              <w:rPr>
                <w:rFonts w:ascii="Times New Roman" w:hAnsi="Times New Roman"/>
                <w:sz w:val="24"/>
                <w:szCs w:val="24"/>
                <w:lang w:val="en-US"/>
              </w:rPr>
              <w:t xml:space="preserve">anagers of the TCIPG </w:t>
            </w:r>
            <w:r w:rsidR="003F2A4B">
              <w:rPr>
                <w:rFonts w:ascii="Times New Roman" w:hAnsi="Times New Roman"/>
                <w:sz w:val="24"/>
                <w:szCs w:val="24"/>
                <w:lang w:val="en-US"/>
              </w:rPr>
              <w:t>instrument</w:t>
            </w:r>
            <w:r w:rsidR="004E47A2" w:rsidRPr="002F19E8">
              <w:rPr>
                <w:rFonts w:ascii="Times New Roman" w:hAnsi="Times New Roman"/>
                <w:sz w:val="24"/>
                <w:szCs w:val="24"/>
                <w:lang w:val="en-US"/>
              </w:rPr>
              <w:t xml:space="preserve"> may publish information on the terms and conditions of the TCIPG </w:t>
            </w:r>
            <w:r w:rsidR="003F2A4B">
              <w:rPr>
                <w:rFonts w:ascii="Times New Roman" w:hAnsi="Times New Roman"/>
                <w:sz w:val="24"/>
                <w:szCs w:val="24"/>
                <w:lang w:val="en-US"/>
              </w:rPr>
              <w:t>instrument</w:t>
            </w:r>
            <w:r w:rsidR="004E47A2" w:rsidRPr="002F19E8">
              <w:rPr>
                <w:rFonts w:ascii="Times New Roman" w:hAnsi="Times New Roman"/>
                <w:sz w:val="24"/>
                <w:szCs w:val="24"/>
                <w:lang w:val="en-US"/>
              </w:rPr>
              <w:t xml:space="preserve"> on their website or use other publicity </w:t>
            </w:r>
            <w:r w:rsidR="003F2A4B">
              <w:rPr>
                <w:rFonts w:ascii="Times New Roman" w:hAnsi="Times New Roman"/>
                <w:sz w:val="24"/>
                <w:szCs w:val="24"/>
                <w:lang w:val="en-US"/>
              </w:rPr>
              <w:t>instrument</w:t>
            </w:r>
            <w:r w:rsidR="004E47A2" w:rsidRPr="002F19E8">
              <w:rPr>
                <w:rFonts w:ascii="Times New Roman" w:hAnsi="Times New Roman"/>
                <w:sz w:val="24"/>
                <w:szCs w:val="24"/>
                <w:lang w:val="en-US"/>
              </w:rPr>
              <w:t>s on their own initiative</w:t>
            </w:r>
          </w:p>
        </w:tc>
      </w:tr>
      <w:tr w:rsidR="00796B74" w14:paraId="42ABF584" w14:textId="77777777" w:rsidTr="00DA4696">
        <w:trPr>
          <w:trHeight w:val="346"/>
        </w:trPr>
        <w:tc>
          <w:tcPr>
            <w:tcW w:w="2853" w:type="dxa"/>
            <w:shd w:val="clear" w:color="auto" w:fill="auto"/>
          </w:tcPr>
          <w:p w14:paraId="219B3058" w14:textId="77777777" w:rsidR="00CE285C" w:rsidRPr="002F19E8" w:rsidRDefault="004E47A2" w:rsidP="00CE285C">
            <w:pPr>
              <w:autoSpaceDE w:val="0"/>
              <w:autoSpaceDN w:val="0"/>
              <w:spacing w:after="0" w:line="240" w:lineRule="auto"/>
              <w:contextualSpacing/>
              <w:jc w:val="both"/>
              <w:rPr>
                <w:rFonts w:ascii="Times New Roman" w:hAnsi="Times New Roman"/>
                <w:b/>
                <w:sz w:val="24"/>
                <w:szCs w:val="24"/>
              </w:rPr>
            </w:pPr>
            <w:r w:rsidRPr="002F19E8">
              <w:rPr>
                <w:rFonts w:ascii="Times New Roman" w:hAnsi="Times New Roman"/>
                <w:b/>
                <w:sz w:val="24"/>
                <w:szCs w:val="24"/>
                <w:lang w:val="en-US"/>
              </w:rPr>
              <w:t>Audit requirements</w:t>
            </w:r>
          </w:p>
        </w:tc>
        <w:tc>
          <w:tcPr>
            <w:tcW w:w="6894" w:type="dxa"/>
            <w:shd w:val="clear" w:color="auto" w:fill="auto"/>
          </w:tcPr>
          <w:p w14:paraId="599A626E" w14:textId="23542777" w:rsidR="00CE285C" w:rsidRPr="002F19E8" w:rsidRDefault="009D659B" w:rsidP="00CE285C">
            <w:pPr>
              <w:spacing w:after="0" w:line="240" w:lineRule="auto"/>
              <w:jc w:val="both"/>
              <w:rPr>
                <w:rFonts w:ascii="Times New Roman" w:hAnsi="Times New Roman"/>
                <w:sz w:val="24"/>
                <w:szCs w:val="24"/>
              </w:rPr>
            </w:pPr>
            <w:r>
              <w:rPr>
                <w:rFonts w:ascii="Times New Roman" w:hAnsi="Times New Roman"/>
                <w:sz w:val="24"/>
                <w:szCs w:val="24"/>
                <w:lang w:val="en-US"/>
              </w:rPr>
              <w:t>A</w:t>
            </w:r>
            <w:r w:rsidR="004E47A2" w:rsidRPr="002F19E8">
              <w:rPr>
                <w:rFonts w:ascii="Times New Roman" w:hAnsi="Times New Roman"/>
                <w:sz w:val="24"/>
                <w:szCs w:val="24"/>
                <w:lang w:val="en-US"/>
              </w:rPr>
              <w:t xml:space="preserve"> </w:t>
            </w:r>
            <w:r>
              <w:rPr>
                <w:rFonts w:ascii="Times New Roman" w:hAnsi="Times New Roman"/>
                <w:sz w:val="24"/>
                <w:szCs w:val="24"/>
                <w:lang w:val="en-US"/>
              </w:rPr>
              <w:t>m</w:t>
            </w:r>
            <w:r w:rsidR="004E47A2" w:rsidRPr="002F19E8">
              <w:rPr>
                <w:rFonts w:ascii="Times New Roman" w:hAnsi="Times New Roman"/>
                <w:sz w:val="24"/>
                <w:szCs w:val="24"/>
                <w:lang w:val="en-US"/>
              </w:rPr>
              <w:t xml:space="preserve">anager of the </w:t>
            </w:r>
            <w:r w:rsidR="005D337C" w:rsidRPr="005D337C">
              <w:rPr>
                <w:rFonts w:ascii="Times New Roman" w:hAnsi="Times New Roman"/>
                <w:sz w:val="24"/>
                <w:szCs w:val="24"/>
                <w:lang w:val="en-US"/>
              </w:rPr>
              <w:t xml:space="preserve">TCIPG </w:t>
            </w:r>
            <w:r w:rsidR="003F2A4B">
              <w:rPr>
                <w:rFonts w:ascii="Times New Roman" w:hAnsi="Times New Roman"/>
                <w:sz w:val="24"/>
                <w:szCs w:val="24"/>
                <w:lang w:val="en-US"/>
              </w:rPr>
              <w:t>instrument</w:t>
            </w:r>
            <w:r w:rsidR="004E47A2" w:rsidRPr="002F19E8">
              <w:rPr>
                <w:rFonts w:ascii="Times New Roman" w:hAnsi="Times New Roman"/>
                <w:sz w:val="24"/>
                <w:szCs w:val="24"/>
                <w:lang w:val="en-US"/>
              </w:rPr>
              <w:t xml:space="preserve"> shall </w:t>
            </w:r>
            <w:r>
              <w:rPr>
                <w:rFonts w:ascii="Times New Roman" w:hAnsi="Times New Roman"/>
                <w:sz w:val="24"/>
                <w:szCs w:val="24"/>
                <w:lang w:val="en-US"/>
              </w:rPr>
              <w:t>undertake</w:t>
            </w:r>
            <w:r w:rsidR="004E47A2" w:rsidRPr="002F19E8">
              <w:rPr>
                <w:rFonts w:ascii="Times New Roman" w:hAnsi="Times New Roman"/>
                <w:sz w:val="24"/>
                <w:szCs w:val="24"/>
                <w:lang w:val="en-US"/>
              </w:rPr>
              <w:t xml:space="preserve"> to admit authorized representatives of Invega, the European Commission, the European Court of Auditors, the Ministry of Finance, the Ministry of the Economy and Innovation, the State Audit Office of the Republic of Lithuania, the Financial Crime Investigation Service under the Ministry of the Interior, the Special Investigation Service of the Republic of Lithuania, The Competition Council and other EU institutions and EU bodies, as well as representatives of duly authorized national entities entitled to inspect the use of the funds of the TCIPG </w:t>
            </w:r>
            <w:r w:rsidR="003F2A4B">
              <w:rPr>
                <w:rFonts w:ascii="Times New Roman" w:hAnsi="Times New Roman"/>
                <w:sz w:val="24"/>
                <w:szCs w:val="24"/>
                <w:lang w:val="en-US"/>
              </w:rPr>
              <w:t>instrument</w:t>
            </w:r>
            <w:r w:rsidR="004E47A2" w:rsidRPr="002F19E8">
              <w:rPr>
                <w:rFonts w:ascii="Times New Roman" w:hAnsi="Times New Roman"/>
                <w:sz w:val="24"/>
                <w:szCs w:val="24"/>
                <w:lang w:val="en-US"/>
              </w:rPr>
              <w:t xml:space="preserve"> to perform the audit and/or inspection of the TCIPG instrument up to the level of the Policyholder. Insurance </w:t>
            </w:r>
            <w:r w:rsidR="003D2BF0">
              <w:rPr>
                <w:rFonts w:ascii="Times New Roman" w:hAnsi="Times New Roman"/>
                <w:sz w:val="24"/>
                <w:szCs w:val="24"/>
                <w:lang w:val="en-US"/>
              </w:rPr>
              <w:t>c</w:t>
            </w:r>
            <w:r w:rsidR="004E47A2" w:rsidRPr="002F19E8">
              <w:rPr>
                <w:rFonts w:ascii="Times New Roman" w:hAnsi="Times New Roman"/>
                <w:sz w:val="24"/>
                <w:szCs w:val="24"/>
                <w:lang w:val="en-US"/>
              </w:rPr>
              <w:t xml:space="preserve">ontracts concluded by the TCIPG </w:t>
            </w:r>
            <w:r w:rsidR="003F2A4B">
              <w:rPr>
                <w:rFonts w:ascii="Times New Roman" w:hAnsi="Times New Roman"/>
                <w:sz w:val="24"/>
                <w:szCs w:val="24"/>
                <w:lang w:val="en-US"/>
              </w:rPr>
              <w:t>instrument</w:t>
            </w:r>
            <w:r w:rsidR="004E47A2" w:rsidRPr="002F19E8">
              <w:rPr>
                <w:rFonts w:ascii="Times New Roman" w:hAnsi="Times New Roman"/>
                <w:sz w:val="24"/>
                <w:szCs w:val="24"/>
                <w:lang w:val="en-US"/>
              </w:rPr>
              <w:t xml:space="preserve"> manager or the agreements attached to the Insurance </w:t>
            </w:r>
            <w:r w:rsidR="0043291D">
              <w:rPr>
                <w:rFonts w:ascii="Times New Roman" w:hAnsi="Times New Roman"/>
                <w:sz w:val="24"/>
                <w:szCs w:val="24"/>
                <w:lang w:val="en-US"/>
              </w:rPr>
              <w:t>c</w:t>
            </w:r>
            <w:r w:rsidR="004E47A2" w:rsidRPr="002F19E8">
              <w:rPr>
                <w:rFonts w:ascii="Times New Roman" w:hAnsi="Times New Roman"/>
                <w:sz w:val="24"/>
                <w:szCs w:val="24"/>
                <w:lang w:val="en-US"/>
              </w:rPr>
              <w:t xml:space="preserve">ontracts must establish an analogous obligation to the Policyholder. </w:t>
            </w:r>
          </w:p>
          <w:p w14:paraId="12BEF439" w14:textId="7DB6FC3C" w:rsidR="00CE285C" w:rsidRPr="002F19E8" w:rsidRDefault="004E47A2" w:rsidP="00CE285C">
            <w:pPr>
              <w:spacing w:after="0" w:line="240" w:lineRule="auto"/>
              <w:jc w:val="both"/>
              <w:rPr>
                <w:rFonts w:ascii="Times New Roman" w:hAnsi="Times New Roman"/>
                <w:sz w:val="24"/>
                <w:szCs w:val="24"/>
              </w:rPr>
            </w:pPr>
            <w:r w:rsidRPr="002F19E8">
              <w:rPr>
                <w:rFonts w:ascii="Times New Roman" w:hAnsi="Times New Roman"/>
                <w:sz w:val="24"/>
                <w:szCs w:val="24"/>
                <w:lang w:val="en-US"/>
              </w:rPr>
              <w:t xml:space="preserve">The TCIPG </w:t>
            </w:r>
            <w:r w:rsidR="003F2A4B">
              <w:rPr>
                <w:rFonts w:ascii="Times New Roman" w:hAnsi="Times New Roman"/>
                <w:sz w:val="24"/>
                <w:szCs w:val="24"/>
                <w:lang w:val="en-US"/>
              </w:rPr>
              <w:t>instrument</w:t>
            </w:r>
            <w:r w:rsidRPr="002F19E8">
              <w:rPr>
                <w:rFonts w:ascii="Times New Roman" w:hAnsi="Times New Roman"/>
                <w:sz w:val="24"/>
                <w:szCs w:val="24"/>
                <w:lang w:val="en-US"/>
              </w:rPr>
              <w:t xml:space="preserve"> manager shall provide the documents required for audits or inspections free of charge</w:t>
            </w:r>
          </w:p>
        </w:tc>
      </w:tr>
      <w:tr w:rsidR="00796B74" w14:paraId="50A862CE" w14:textId="77777777" w:rsidTr="008A76CC">
        <w:trPr>
          <w:trHeight w:val="56"/>
        </w:trPr>
        <w:tc>
          <w:tcPr>
            <w:tcW w:w="2853" w:type="dxa"/>
            <w:shd w:val="clear" w:color="auto" w:fill="auto"/>
          </w:tcPr>
          <w:p w14:paraId="59F69561" w14:textId="77777777" w:rsidR="00CE285C" w:rsidRPr="002F19E8" w:rsidRDefault="004E47A2" w:rsidP="00CE285C">
            <w:pPr>
              <w:autoSpaceDE w:val="0"/>
              <w:autoSpaceDN w:val="0"/>
              <w:spacing w:after="0" w:line="240" w:lineRule="auto"/>
              <w:contextualSpacing/>
              <w:rPr>
                <w:rFonts w:ascii="Times New Roman" w:hAnsi="Times New Roman"/>
                <w:b/>
                <w:sz w:val="24"/>
                <w:szCs w:val="24"/>
              </w:rPr>
            </w:pPr>
            <w:r w:rsidRPr="002F19E8">
              <w:rPr>
                <w:rFonts w:ascii="Times New Roman" w:hAnsi="Times New Roman"/>
                <w:b/>
                <w:sz w:val="24"/>
                <w:szCs w:val="24"/>
                <w:lang w:val="en-US"/>
              </w:rPr>
              <w:t>Other conditions</w:t>
            </w:r>
          </w:p>
        </w:tc>
        <w:tc>
          <w:tcPr>
            <w:tcW w:w="6894" w:type="dxa"/>
            <w:shd w:val="clear" w:color="auto" w:fill="auto"/>
          </w:tcPr>
          <w:p w14:paraId="63CD8E91" w14:textId="5B521A59" w:rsidR="004113D0" w:rsidRPr="008A76CC" w:rsidRDefault="004E47A2" w:rsidP="00FF0E30">
            <w:pPr>
              <w:autoSpaceDE w:val="0"/>
              <w:autoSpaceDN w:val="0"/>
              <w:spacing w:after="0" w:line="240" w:lineRule="auto"/>
              <w:jc w:val="both"/>
              <w:rPr>
                <w:rFonts w:ascii="Times New Roman" w:hAnsi="Times New Roman"/>
                <w:sz w:val="24"/>
                <w:szCs w:val="24"/>
              </w:rPr>
            </w:pPr>
            <w:r w:rsidRPr="008A76CC">
              <w:rPr>
                <w:rFonts w:ascii="Times New Roman" w:hAnsi="Times New Roman"/>
                <w:sz w:val="24"/>
                <w:szCs w:val="24"/>
                <w:lang w:val="en-US"/>
              </w:rPr>
              <w:t xml:space="preserve">Insurers </w:t>
            </w:r>
            <w:r w:rsidR="009D659B">
              <w:rPr>
                <w:rFonts w:ascii="Times New Roman" w:hAnsi="Times New Roman"/>
                <w:sz w:val="24"/>
                <w:szCs w:val="24"/>
                <w:lang w:val="en-US"/>
              </w:rPr>
              <w:t>which</w:t>
            </w:r>
            <w:r w:rsidRPr="008A76CC">
              <w:rPr>
                <w:rFonts w:ascii="Times New Roman" w:hAnsi="Times New Roman"/>
                <w:sz w:val="24"/>
                <w:szCs w:val="24"/>
                <w:lang w:val="en-US"/>
              </w:rPr>
              <w:t xml:space="preserve"> have received the Guarantee shall undertake to </w:t>
            </w:r>
            <w:r w:rsidRPr="0067394E">
              <w:rPr>
                <w:rFonts w:ascii="Times New Roman" w:hAnsi="Times New Roman"/>
                <w:sz w:val="24"/>
                <w:szCs w:val="24"/>
                <w:lang w:val="en-US"/>
              </w:rPr>
              <w:t>re</w:t>
            </w:r>
            <w:r w:rsidR="0067394E" w:rsidRPr="0067394E">
              <w:rPr>
                <w:rFonts w:ascii="Times New Roman" w:hAnsi="Times New Roman"/>
                <w:sz w:val="24"/>
                <w:szCs w:val="24"/>
                <w:lang w:val="en-US"/>
              </w:rPr>
              <w:t>tain</w:t>
            </w:r>
            <w:r w:rsidRPr="0067394E">
              <w:rPr>
                <w:rFonts w:ascii="Times New Roman" w:hAnsi="Times New Roman"/>
                <w:sz w:val="24"/>
                <w:szCs w:val="24"/>
                <w:lang w:val="en-US"/>
              </w:rPr>
              <w:t xml:space="preserve"> the trade credit limits to Policyholders (if they have been r</w:t>
            </w:r>
            <w:r w:rsidRPr="008A76CC">
              <w:rPr>
                <w:rFonts w:ascii="Times New Roman" w:hAnsi="Times New Roman"/>
                <w:sz w:val="24"/>
                <w:szCs w:val="24"/>
                <w:lang w:val="en-US"/>
              </w:rPr>
              <w:t xml:space="preserve">educed) to the level of </w:t>
            </w:r>
            <w:r w:rsidR="00131828">
              <w:rPr>
                <w:rFonts w:ascii="Times New Roman" w:hAnsi="Times New Roman"/>
                <w:sz w:val="24"/>
                <w:szCs w:val="24"/>
                <w:lang w:val="en-US"/>
              </w:rPr>
              <w:t>3</w:t>
            </w:r>
            <w:r w:rsidRPr="008A76CC">
              <w:rPr>
                <w:rFonts w:ascii="Times New Roman" w:hAnsi="Times New Roman"/>
                <w:sz w:val="24"/>
                <w:szCs w:val="24"/>
                <w:lang w:val="en-US"/>
              </w:rPr>
              <w:t xml:space="preserve">1 </w:t>
            </w:r>
            <w:r w:rsidR="00131828">
              <w:rPr>
                <w:rFonts w:ascii="Times New Roman" w:hAnsi="Times New Roman"/>
                <w:sz w:val="24"/>
                <w:szCs w:val="24"/>
                <w:lang w:val="en-US"/>
              </w:rPr>
              <w:t>December</w:t>
            </w:r>
            <w:r w:rsidRPr="008A76CC">
              <w:rPr>
                <w:rFonts w:ascii="Times New Roman" w:hAnsi="Times New Roman"/>
                <w:sz w:val="24"/>
                <w:szCs w:val="24"/>
                <w:lang w:val="en-US"/>
              </w:rPr>
              <w:t xml:space="preserve"> 20</w:t>
            </w:r>
            <w:r w:rsidR="00131828">
              <w:rPr>
                <w:rFonts w:ascii="Times New Roman" w:hAnsi="Times New Roman"/>
                <w:sz w:val="24"/>
                <w:szCs w:val="24"/>
                <w:lang w:val="en-US"/>
              </w:rPr>
              <w:t>19</w:t>
            </w:r>
            <w:r w:rsidRPr="008A76CC">
              <w:rPr>
                <w:rFonts w:ascii="Times New Roman" w:hAnsi="Times New Roman"/>
                <w:sz w:val="24"/>
                <w:szCs w:val="24"/>
                <w:lang w:val="en-US"/>
              </w:rPr>
              <w:t xml:space="preserve">, as well as not to reduce and (or) not eliminate the trade credit limits valid for Policyholders under the Insurance </w:t>
            </w:r>
            <w:r w:rsidR="003D2BF0">
              <w:rPr>
                <w:rFonts w:ascii="Times New Roman" w:hAnsi="Times New Roman"/>
                <w:sz w:val="24"/>
                <w:szCs w:val="24"/>
                <w:lang w:val="en-US"/>
              </w:rPr>
              <w:t>c</w:t>
            </w:r>
            <w:r w:rsidRPr="008A76CC">
              <w:rPr>
                <w:rFonts w:ascii="Times New Roman" w:hAnsi="Times New Roman"/>
                <w:sz w:val="24"/>
                <w:szCs w:val="24"/>
                <w:lang w:val="en-US"/>
              </w:rPr>
              <w:t>ontracts, except for the cases:</w:t>
            </w:r>
          </w:p>
          <w:p w14:paraId="5FE332D5" w14:textId="77777777" w:rsidR="004113D0" w:rsidRPr="008A76CC" w:rsidRDefault="004E47A2" w:rsidP="00FF0E30">
            <w:pPr>
              <w:pStyle w:val="ListParagraph"/>
              <w:numPr>
                <w:ilvl w:val="0"/>
                <w:numId w:val="17"/>
              </w:numPr>
              <w:autoSpaceDE w:val="0"/>
              <w:autoSpaceDN w:val="0"/>
              <w:spacing w:after="0" w:line="240" w:lineRule="auto"/>
              <w:jc w:val="both"/>
              <w:rPr>
                <w:rFonts w:ascii="Times New Roman" w:hAnsi="Times New Roman"/>
                <w:sz w:val="24"/>
                <w:szCs w:val="24"/>
              </w:rPr>
            </w:pPr>
            <w:r w:rsidRPr="008A76CC">
              <w:rPr>
                <w:rFonts w:ascii="Times New Roman" w:hAnsi="Times New Roman"/>
                <w:sz w:val="24"/>
                <w:szCs w:val="24"/>
                <w:lang w:val="en-US"/>
              </w:rPr>
              <w:t>when the Insurer determines a significantly increased probability of insolvency of the buyer,</w:t>
            </w:r>
          </w:p>
          <w:p w14:paraId="2A21ED45" w14:textId="77777777" w:rsidR="002B54B2" w:rsidRPr="008A76CC" w:rsidRDefault="004E47A2" w:rsidP="00FF0E30">
            <w:pPr>
              <w:pStyle w:val="ListParagraph"/>
              <w:numPr>
                <w:ilvl w:val="0"/>
                <w:numId w:val="17"/>
              </w:numPr>
              <w:autoSpaceDE w:val="0"/>
              <w:autoSpaceDN w:val="0"/>
              <w:spacing w:after="0" w:line="240" w:lineRule="auto"/>
              <w:ind w:left="714" w:hanging="357"/>
              <w:jc w:val="both"/>
              <w:rPr>
                <w:rFonts w:ascii="Times New Roman" w:hAnsi="Times New Roman"/>
                <w:sz w:val="24"/>
                <w:szCs w:val="24"/>
              </w:rPr>
            </w:pPr>
            <w:r w:rsidRPr="008A76CC">
              <w:rPr>
                <w:rFonts w:ascii="Times New Roman" w:hAnsi="Times New Roman"/>
                <w:sz w:val="24"/>
                <w:szCs w:val="24"/>
                <w:lang w:val="en-US"/>
              </w:rPr>
              <w:t>when the Insurer and the Policyholder mutually agree on the reduction of the limit,</w:t>
            </w:r>
          </w:p>
          <w:p w14:paraId="72984C60" w14:textId="1F569988" w:rsidR="002B54B2" w:rsidRPr="008A76CC" w:rsidRDefault="004E47A2" w:rsidP="00FF0E30">
            <w:pPr>
              <w:pStyle w:val="ListParagraph"/>
              <w:numPr>
                <w:ilvl w:val="0"/>
                <w:numId w:val="17"/>
              </w:numPr>
              <w:autoSpaceDE w:val="0"/>
              <w:autoSpaceDN w:val="0"/>
              <w:spacing w:after="0" w:line="240" w:lineRule="auto"/>
              <w:jc w:val="both"/>
              <w:rPr>
                <w:rFonts w:ascii="Times New Roman" w:hAnsi="Times New Roman"/>
                <w:sz w:val="24"/>
                <w:szCs w:val="24"/>
              </w:rPr>
            </w:pPr>
            <w:r w:rsidRPr="008A76CC">
              <w:rPr>
                <w:rFonts w:ascii="Times New Roman" w:hAnsi="Times New Roman"/>
                <w:sz w:val="24"/>
                <w:szCs w:val="24"/>
                <w:lang w:val="en-US"/>
              </w:rPr>
              <w:t>when the Policyholder has not used up the granted trade credit limit in the last 12 months or has used it only partially due to the reduced turnover with the buyer</w:t>
            </w:r>
            <w:r w:rsidR="00BF3A7D">
              <w:rPr>
                <w:rFonts w:ascii="Times New Roman" w:hAnsi="Times New Roman"/>
                <w:sz w:val="24"/>
                <w:szCs w:val="24"/>
                <w:lang w:val="en-US"/>
              </w:rPr>
              <w:t>.</w:t>
            </w:r>
          </w:p>
          <w:p w14:paraId="57B6F6AF" w14:textId="77777777" w:rsidR="008A76CC" w:rsidRDefault="008A76CC" w:rsidP="00FF0E30">
            <w:pPr>
              <w:autoSpaceDE w:val="0"/>
              <w:autoSpaceDN w:val="0"/>
              <w:spacing w:after="0" w:line="240" w:lineRule="auto"/>
              <w:jc w:val="both"/>
              <w:rPr>
                <w:rFonts w:ascii="Times New Roman" w:hAnsi="Times New Roman"/>
                <w:sz w:val="24"/>
                <w:szCs w:val="24"/>
              </w:rPr>
            </w:pPr>
          </w:p>
          <w:p w14:paraId="21228280" w14:textId="082876BB" w:rsidR="008A76CC" w:rsidRPr="008A76CC" w:rsidRDefault="004E47A2" w:rsidP="00FF0E30">
            <w:pPr>
              <w:autoSpaceDE w:val="0"/>
              <w:autoSpaceDN w:val="0"/>
              <w:spacing w:after="0" w:line="240" w:lineRule="auto"/>
              <w:jc w:val="both"/>
              <w:rPr>
                <w:rFonts w:ascii="Times New Roman" w:hAnsi="Times New Roman"/>
                <w:sz w:val="24"/>
                <w:szCs w:val="24"/>
              </w:rPr>
            </w:pPr>
            <w:r w:rsidRPr="008A76CC">
              <w:rPr>
                <w:rFonts w:ascii="Times New Roman" w:hAnsi="Times New Roman"/>
                <w:sz w:val="24"/>
                <w:szCs w:val="24"/>
                <w:lang w:val="en-US"/>
              </w:rPr>
              <w:t xml:space="preserve">These terms and conditions shall apply only to Insurance </w:t>
            </w:r>
            <w:r w:rsidR="003D2BF0">
              <w:rPr>
                <w:rFonts w:ascii="Times New Roman" w:hAnsi="Times New Roman"/>
                <w:sz w:val="24"/>
                <w:szCs w:val="24"/>
                <w:lang w:val="en-US"/>
              </w:rPr>
              <w:t>c</w:t>
            </w:r>
            <w:r w:rsidRPr="008A76CC">
              <w:rPr>
                <w:rFonts w:ascii="Times New Roman" w:hAnsi="Times New Roman"/>
                <w:sz w:val="24"/>
                <w:szCs w:val="24"/>
                <w:lang w:val="en-US"/>
              </w:rPr>
              <w:t xml:space="preserve">ontracts under which: </w:t>
            </w:r>
          </w:p>
          <w:p w14:paraId="43F523B2" w14:textId="19B9245C" w:rsidR="008A76CC" w:rsidRDefault="000A3701" w:rsidP="00ED0800">
            <w:pPr>
              <w:numPr>
                <w:ilvl w:val="0"/>
                <w:numId w:val="17"/>
              </w:numPr>
              <w:autoSpaceDE w:val="0"/>
              <w:autoSpaceDN w:val="0"/>
              <w:adjustRightInd w:val="0"/>
              <w:spacing w:after="0" w:line="240" w:lineRule="auto"/>
              <w:jc w:val="both"/>
              <w:rPr>
                <w:rFonts w:ascii="Times New Roman" w:hAnsi="Times New Roman"/>
                <w:bCs/>
                <w:sz w:val="24"/>
                <w:szCs w:val="24"/>
              </w:rPr>
            </w:pPr>
            <w:r w:rsidRPr="000A3701">
              <w:rPr>
                <w:rFonts w:ascii="Times New Roman" w:hAnsi="Times New Roman"/>
                <w:bCs/>
                <w:sz w:val="24"/>
                <w:szCs w:val="24"/>
                <w:lang w:val="en-US"/>
              </w:rPr>
              <w:t xml:space="preserve">according to the granted trade credit limits </w:t>
            </w:r>
            <w:r w:rsidR="004E47A2" w:rsidRPr="008A76CC">
              <w:rPr>
                <w:rFonts w:ascii="Times New Roman" w:hAnsi="Times New Roman"/>
                <w:bCs/>
                <w:sz w:val="24"/>
                <w:szCs w:val="24"/>
                <w:lang w:val="en-US"/>
              </w:rPr>
              <w:t>the goods were delivered to Lithuanian buyers not earlier than on 1 January 2020 and no later than 31 December 2020,</w:t>
            </w:r>
          </w:p>
          <w:p w14:paraId="2E672A2C" w14:textId="25B9EFF4" w:rsidR="008A76CC" w:rsidRDefault="000A3701">
            <w:pPr>
              <w:numPr>
                <w:ilvl w:val="0"/>
                <w:numId w:val="17"/>
              </w:numPr>
              <w:autoSpaceDE w:val="0"/>
              <w:autoSpaceDN w:val="0"/>
              <w:adjustRightInd w:val="0"/>
              <w:spacing w:after="0" w:line="240" w:lineRule="auto"/>
              <w:jc w:val="both"/>
              <w:rPr>
                <w:rFonts w:ascii="Times New Roman" w:hAnsi="Times New Roman"/>
                <w:bCs/>
                <w:sz w:val="24"/>
                <w:szCs w:val="24"/>
              </w:rPr>
            </w:pPr>
            <w:r w:rsidRPr="000A3701">
              <w:rPr>
                <w:rFonts w:ascii="Times New Roman" w:hAnsi="Times New Roman"/>
                <w:bCs/>
                <w:sz w:val="24"/>
                <w:szCs w:val="24"/>
                <w:lang w:val="en-US"/>
              </w:rPr>
              <w:t xml:space="preserve">according to the granted trade credit limits </w:t>
            </w:r>
            <w:r w:rsidR="004E47A2">
              <w:rPr>
                <w:rFonts w:ascii="Times New Roman" w:hAnsi="Times New Roman"/>
                <w:bCs/>
                <w:sz w:val="24"/>
                <w:szCs w:val="24"/>
                <w:lang w:val="en-US"/>
              </w:rPr>
              <w:t>goods were shipped to foreign buyers no earlier than on 1 January 2020 and no later than 31 December 2020,</w:t>
            </w:r>
          </w:p>
          <w:p w14:paraId="46C9B0E7" w14:textId="2634106D" w:rsidR="008A76CC" w:rsidRPr="002F19E8" w:rsidRDefault="000A3701" w:rsidP="008A76CC">
            <w:pPr>
              <w:numPr>
                <w:ilvl w:val="0"/>
                <w:numId w:val="17"/>
              </w:numPr>
              <w:autoSpaceDE w:val="0"/>
              <w:autoSpaceDN w:val="0"/>
              <w:adjustRightInd w:val="0"/>
              <w:spacing w:after="0" w:line="240" w:lineRule="auto"/>
              <w:jc w:val="both"/>
              <w:rPr>
                <w:rFonts w:ascii="Times New Roman" w:hAnsi="Times New Roman"/>
                <w:bCs/>
                <w:sz w:val="24"/>
                <w:szCs w:val="24"/>
              </w:rPr>
            </w:pPr>
            <w:r w:rsidRPr="000A3701">
              <w:rPr>
                <w:rFonts w:ascii="Times New Roman" w:hAnsi="Times New Roman"/>
                <w:bCs/>
                <w:sz w:val="24"/>
                <w:szCs w:val="24"/>
                <w:lang w:val="en-US"/>
              </w:rPr>
              <w:t xml:space="preserve">according to the granted trade credit limits </w:t>
            </w:r>
            <w:r w:rsidR="004E47A2">
              <w:rPr>
                <w:rFonts w:ascii="Times New Roman" w:hAnsi="Times New Roman"/>
                <w:bCs/>
                <w:sz w:val="24"/>
                <w:szCs w:val="24"/>
                <w:lang w:val="en-US"/>
              </w:rPr>
              <w:t>services were provided no earlier than 1 January 2020 and no later than 31 December 2020</w:t>
            </w:r>
          </w:p>
          <w:p w14:paraId="42945C5E" w14:textId="77777777" w:rsidR="00545662" w:rsidRPr="002F19E8" w:rsidRDefault="00545662" w:rsidP="00CE285C">
            <w:pPr>
              <w:spacing w:after="0" w:line="240" w:lineRule="auto"/>
              <w:jc w:val="both"/>
              <w:rPr>
                <w:rFonts w:ascii="Times New Roman" w:hAnsi="Times New Roman"/>
                <w:sz w:val="24"/>
                <w:szCs w:val="24"/>
              </w:rPr>
            </w:pPr>
          </w:p>
        </w:tc>
      </w:tr>
    </w:tbl>
    <w:p w14:paraId="66E35ED0"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3BB93392" w14:textId="1CE1971E" w:rsidR="00D57EB8" w:rsidRDefault="00D57EB8" w:rsidP="00F707D3">
      <w:pPr>
        <w:tabs>
          <w:tab w:val="left" w:pos="1418"/>
        </w:tabs>
        <w:spacing w:after="0" w:line="240" w:lineRule="auto"/>
        <w:ind w:left="993"/>
        <w:contextualSpacing/>
        <w:jc w:val="right"/>
        <w:rPr>
          <w:rFonts w:ascii="Times New Roman" w:hAnsi="Times New Roman"/>
          <w:sz w:val="24"/>
          <w:szCs w:val="24"/>
        </w:rPr>
      </w:pPr>
    </w:p>
    <w:p w14:paraId="156F0F2D" w14:textId="60A5EA71" w:rsidR="0067394E" w:rsidRDefault="0067394E" w:rsidP="00F707D3">
      <w:pPr>
        <w:tabs>
          <w:tab w:val="left" w:pos="1418"/>
        </w:tabs>
        <w:spacing w:after="0" w:line="240" w:lineRule="auto"/>
        <w:ind w:left="993"/>
        <w:contextualSpacing/>
        <w:jc w:val="right"/>
        <w:rPr>
          <w:rFonts w:ascii="Times New Roman" w:hAnsi="Times New Roman"/>
          <w:sz w:val="24"/>
          <w:szCs w:val="24"/>
        </w:rPr>
      </w:pPr>
    </w:p>
    <w:p w14:paraId="581FDAA0" w14:textId="59130357" w:rsidR="0067394E" w:rsidRDefault="0067394E" w:rsidP="00F707D3">
      <w:pPr>
        <w:tabs>
          <w:tab w:val="left" w:pos="1418"/>
        </w:tabs>
        <w:spacing w:after="0" w:line="240" w:lineRule="auto"/>
        <w:ind w:left="993"/>
        <w:contextualSpacing/>
        <w:jc w:val="right"/>
        <w:rPr>
          <w:rFonts w:ascii="Times New Roman" w:hAnsi="Times New Roman"/>
          <w:sz w:val="24"/>
          <w:szCs w:val="24"/>
        </w:rPr>
      </w:pPr>
    </w:p>
    <w:p w14:paraId="49740AEE" w14:textId="03D41CA3" w:rsidR="0067394E" w:rsidRDefault="0067394E" w:rsidP="00F707D3">
      <w:pPr>
        <w:tabs>
          <w:tab w:val="left" w:pos="1418"/>
        </w:tabs>
        <w:spacing w:after="0" w:line="240" w:lineRule="auto"/>
        <w:ind w:left="993"/>
        <w:contextualSpacing/>
        <w:jc w:val="right"/>
        <w:rPr>
          <w:rFonts w:ascii="Times New Roman" w:hAnsi="Times New Roman"/>
          <w:sz w:val="24"/>
          <w:szCs w:val="24"/>
        </w:rPr>
      </w:pPr>
    </w:p>
    <w:p w14:paraId="7B5B5A53" w14:textId="7AA51C6F" w:rsidR="0067394E" w:rsidRDefault="0067394E" w:rsidP="00F707D3">
      <w:pPr>
        <w:tabs>
          <w:tab w:val="left" w:pos="1418"/>
        </w:tabs>
        <w:spacing w:after="0" w:line="240" w:lineRule="auto"/>
        <w:ind w:left="993"/>
        <w:contextualSpacing/>
        <w:jc w:val="right"/>
        <w:rPr>
          <w:rFonts w:ascii="Times New Roman" w:hAnsi="Times New Roman"/>
          <w:sz w:val="24"/>
          <w:szCs w:val="24"/>
        </w:rPr>
      </w:pPr>
    </w:p>
    <w:p w14:paraId="2B40B8F3" w14:textId="6D040808" w:rsidR="0067394E" w:rsidRDefault="0067394E" w:rsidP="00F707D3">
      <w:pPr>
        <w:tabs>
          <w:tab w:val="left" w:pos="1418"/>
        </w:tabs>
        <w:spacing w:after="0" w:line="240" w:lineRule="auto"/>
        <w:ind w:left="993"/>
        <w:contextualSpacing/>
        <w:jc w:val="right"/>
        <w:rPr>
          <w:rFonts w:ascii="Times New Roman" w:hAnsi="Times New Roman"/>
          <w:sz w:val="24"/>
          <w:szCs w:val="24"/>
        </w:rPr>
      </w:pPr>
    </w:p>
    <w:p w14:paraId="4EB51F3B" w14:textId="0AB78661" w:rsidR="0067394E" w:rsidRDefault="0067394E" w:rsidP="00F707D3">
      <w:pPr>
        <w:tabs>
          <w:tab w:val="left" w:pos="1418"/>
        </w:tabs>
        <w:spacing w:after="0" w:line="240" w:lineRule="auto"/>
        <w:ind w:left="993"/>
        <w:contextualSpacing/>
        <w:jc w:val="right"/>
        <w:rPr>
          <w:rFonts w:ascii="Times New Roman" w:hAnsi="Times New Roman"/>
          <w:sz w:val="24"/>
          <w:szCs w:val="24"/>
        </w:rPr>
      </w:pPr>
    </w:p>
    <w:p w14:paraId="3DAAEE9C" w14:textId="6190B96D" w:rsidR="00C86212" w:rsidRDefault="00C86212" w:rsidP="00F707D3">
      <w:pPr>
        <w:tabs>
          <w:tab w:val="left" w:pos="1418"/>
        </w:tabs>
        <w:spacing w:after="0" w:line="240" w:lineRule="auto"/>
        <w:ind w:left="993"/>
        <w:contextualSpacing/>
        <w:jc w:val="right"/>
        <w:rPr>
          <w:rFonts w:ascii="Times New Roman" w:hAnsi="Times New Roman"/>
          <w:sz w:val="24"/>
          <w:szCs w:val="24"/>
        </w:rPr>
      </w:pPr>
    </w:p>
    <w:p w14:paraId="082673E0" w14:textId="463813B8" w:rsidR="00C86212" w:rsidRDefault="00C86212" w:rsidP="00F707D3">
      <w:pPr>
        <w:tabs>
          <w:tab w:val="left" w:pos="1418"/>
        </w:tabs>
        <w:spacing w:after="0" w:line="240" w:lineRule="auto"/>
        <w:ind w:left="993"/>
        <w:contextualSpacing/>
        <w:jc w:val="right"/>
        <w:rPr>
          <w:rFonts w:ascii="Times New Roman" w:hAnsi="Times New Roman"/>
          <w:sz w:val="24"/>
          <w:szCs w:val="24"/>
        </w:rPr>
      </w:pPr>
    </w:p>
    <w:p w14:paraId="70594E49" w14:textId="2D1D3B8F" w:rsidR="00C86212" w:rsidRDefault="00C86212" w:rsidP="00F707D3">
      <w:pPr>
        <w:tabs>
          <w:tab w:val="left" w:pos="1418"/>
        </w:tabs>
        <w:spacing w:after="0" w:line="240" w:lineRule="auto"/>
        <w:ind w:left="993"/>
        <w:contextualSpacing/>
        <w:jc w:val="right"/>
        <w:rPr>
          <w:rFonts w:ascii="Times New Roman" w:hAnsi="Times New Roman"/>
          <w:sz w:val="24"/>
          <w:szCs w:val="24"/>
        </w:rPr>
      </w:pPr>
    </w:p>
    <w:p w14:paraId="5582AC4C" w14:textId="1118C72A" w:rsidR="00C86212" w:rsidRDefault="00C86212" w:rsidP="00F707D3">
      <w:pPr>
        <w:tabs>
          <w:tab w:val="left" w:pos="1418"/>
        </w:tabs>
        <w:spacing w:after="0" w:line="240" w:lineRule="auto"/>
        <w:ind w:left="993"/>
        <w:contextualSpacing/>
        <w:jc w:val="right"/>
        <w:rPr>
          <w:rFonts w:ascii="Times New Roman" w:hAnsi="Times New Roman"/>
          <w:sz w:val="24"/>
          <w:szCs w:val="24"/>
        </w:rPr>
      </w:pPr>
    </w:p>
    <w:p w14:paraId="7E9D4AC7" w14:textId="734AC128" w:rsidR="00C86212" w:rsidRDefault="00C86212" w:rsidP="00F707D3">
      <w:pPr>
        <w:tabs>
          <w:tab w:val="left" w:pos="1418"/>
        </w:tabs>
        <w:spacing w:after="0" w:line="240" w:lineRule="auto"/>
        <w:ind w:left="993"/>
        <w:contextualSpacing/>
        <w:jc w:val="right"/>
        <w:rPr>
          <w:rFonts w:ascii="Times New Roman" w:hAnsi="Times New Roman"/>
          <w:sz w:val="24"/>
          <w:szCs w:val="24"/>
        </w:rPr>
      </w:pPr>
    </w:p>
    <w:p w14:paraId="15E107F5" w14:textId="74FAEF2F" w:rsidR="00C86212" w:rsidRDefault="00C86212" w:rsidP="00F707D3">
      <w:pPr>
        <w:tabs>
          <w:tab w:val="left" w:pos="1418"/>
        </w:tabs>
        <w:spacing w:after="0" w:line="240" w:lineRule="auto"/>
        <w:ind w:left="993"/>
        <w:contextualSpacing/>
        <w:jc w:val="right"/>
        <w:rPr>
          <w:rFonts w:ascii="Times New Roman" w:hAnsi="Times New Roman"/>
          <w:sz w:val="24"/>
          <w:szCs w:val="24"/>
        </w:rPr>
      </w:pPr>
    </w:p>
    <w:p w14:paraId="59B6CC38" w14:textId="54C55AC8" w:rsidR="00C86212" w:rsidRDefault="00C86212" w:rsidP="00F707D3">
      <w:pPr>
        <w:tabs>
          <w:tab w:val="left" w:pos="1418"/>
        </w:tabs>
        <w:spacing w:after="0" w:line="240" w:lineRule="auto"/>
        <w:ind w:left="993"/>
        <w:contextualSpacing/>
        <w:jc w:val="right"/>
        <w:rPr>
          <w:rFonts w:ascii="Times New Roman" w:hAnsi="Times New Roman"/>
          <w:sz w:val="24"/>
          <w:szCs w:val="24"/>
        </w:rPr>
      </w:pPr>
    </w:p>
    <w:p w14:paraId="32388DB6" w14:textId="3EA15DE7" w:rsidR="00C86212" w:rsidRDefault="00C86212" w:rsidP="00F707D3">
      <w:pPr>
        <w:tabs>
          <w:tab w:val="left" w:pos="1418"/>
        </w:tabs>
        <w:spacing w:after="0" w:line="240" w:lineRule="auto"/>
        <w:ind w:left="993"/>
        <w:contextualSpacing/>
        <w:jc w:val="right"/>
        <w:rPr>
          <w:rFonts w:ascii="Times New Roman" w:hAnsi="Times New Roman"/>
          <w:sz w:val="24"/>
          <w:szCs w:val="24"/>
        </w:rPr>
      </w:pPr>
    </w:p>
    <w:p w14:paraId="4F9C3824" w14:textId="37229306" w:rsidR="00C86212" w:rsidRDefault="00C86212" w:rsidP="00F707D3">
      <w:pPr>
        <w:tabs>
          <w:tab w:val="left" w:pos="1418"/>
        </w:tabs>
        <w:spacing w:after="0" w:line="240" w:lineRule="auto"/>
        <w:ind w:left="993"/>
        <w:contextualSpacing/>
        <w:jc w:val="right"/>
        <w:rPr>
          <w:rFonts w:ascii="Times New Roman" w:hAnsi="Times New Roman"/>
          <w:sz w:val="24"/>
          <w:szCs w:val="24"/>
        </w:rPr>
      </w:pPr>
    </w:p>
    <w:p w14:paraId="446F0DC5" w14:textId="73700811" w:rsidR="00C86212" w:rsidRDefault="00C86212" w:rsidP="00F707D3">
      <w:pPr>
        <w:tabs>
          <w:tab w:val="left" w:pos="1418"/>
        </w:tabs>
        <w:spacing w:after="0" w:line="240" w:lineRule="auto"/>
        <w:ind w:left="993"/>
        <w:contextualSpacing/>
        <w:jc w:val="right"/>
        <w:rPr>
          <w:rFonts w:ascii="Times New Roman" w:hAnsi="Times New Roman"/>
          <w:sz w:val="24"/>
          <w:szCs w:val="24"/>
        </w:rPr>
      </w:pPr>
    </w:p>
    <w:p w14:paraId="2BF27BA6" w14:textId="107E525E" w:rsidR="00C86212" w:rsidRDefault="00C86212" w:rsidP="00F707D3">
      <w:pPr>
        <w:tabs>
          <w:tab w:val="left" w:pos="1418"/>
        </w:tabs>
        <w:spacing w:after="0" w:line="240" w:lineRule="auto"/>
        <w:ind w:left="993"/>
        <w:contextualSpacing/>
        <w:jc w:val="right"/>
        <w:rPr>
          <w:rFonts w:ascii="Times New Roman" w:hAnsi="Times New Roman"/>
          <w:sz w:val="24"/>
          <w:szCs w:val="24"/>
        </w:rPr>
      </w:pPr>
    </w:p>
    <w:p w14:paraId="592AA96D" w14:textId="54B2AD29" w:rsidR="00C86212" w:rsidRDefault="00C86212" w:rsidP="00F707D3">
      <w:pPr>
        <w:tabs>
          <w:tab w:val="left" w:pos="1418"/>
        </w:tabs>
        <w:spacing w:after="0" w:line="240" w:lineRule="auto"/>
        <w:ind w:left="993"/>
        <w:contextualSpacing/>
        <w:jc w:val="right"/>
        <w:rPr>
          <w:rFonts w:ascii="Times New Roman" w:hAnsi="Times New Roman"/>
          <w:sz w:val="24"/>
          <w:szCs w:val="24"/>
        </w:rPr>
      </w:pPr>
    </w:p>
    <w:p w14:paraId="65A9F3AE" w14:textId="43F648BB" w:rsidR="00C86212" w:rsidRDefault="00C86212" w:rsidP="00F707D3">
      <w:pPr>
        <w:tabs>
          <w:tab w:val="left" w:pos="1418"/>
        </w:tabs>
        <w:spacing w:after="0" w:line="240" w:lineRule="auto"/>
        <w:ind w:left="993"/>
        <w:contextualSpacing/>
        <w:jc w:val="right"/>
        <w:rPr>
          <w:rFonts w:ascii="Times New Roman" w:hAnsi="Times New Roman"/>
          <w:sz w:val="24"/>
          <w:szCs w:val="24"/>
        </w:rPr>
      </w:pPr>
    </w:p>
    <w:p w14:paraId="5A5104B3" w14:textId="712E2DE7" w:rsidR="00C86212" w:rsidRDefault="00C86212" w:rsidP="00F707D3">
      <w:pPr>
        <w:tabs>
          <w:tab w:val="left" w:pos="1418"/>
        </w:tabs>
        <w:spacing w:after="0" w:line="240" w:lineRule="auto"/>
        <w:ind w:left="993"/>
        <w:contextualSpacing/>
        <w:jc w:val="right"/>
        <w:rPr>
          <w:rFonts w:ascii="Times New Roman" w:hAnsi="Times New Roman"/>
          <w:sz w:val="24"/>
          <w:szCs w:val="24"/>
        </w:rPr>
      </w:pPr>
    </w:p>
    <w:p w14:paraId="13A3DFD2" w14:textId="10CE3A28" w:rsidR="00C86212" w:rsidRDefault="00C86212" w:rsidP="00F707D3">
      <w:pPr>
        <w:tabs>
          <w:tab w:val="left" w:pos="1418"/>
        </w:tabs>
        <w:spacing w:after="0" w:line="240" w:lineRule="auto"/>
        <w:ind w:left="993"/>
        <w:contextualSpacing/>
        <w:jc w:val="right"/>
        <w:rPr>
          <w:rFonts w:ascii="Times New Roman" w:hAnsi="Times New Roman"/>
          <w:sz w:val="24"/>
          <w:szCs w:val="24"/>
        </w:rPr>
      </w:pPr>
    </w:p>
    <w:p w14:paraId="5299D337" w14:textId="7248D824" w:rsidR="00C86212" w:rsidRDefault="00C86212" w:rsidP="00F707D3">
      <w:pPr>
        <w:tabs>
          <w:tab w:val="left" w:pos="1418"/>
        </w:tabs>
        <w:spacing w:after="0" w:line="240" w:lineRule="auto"/>
        <w:ind w:left="993"/>
        <w:contextualSpacing/>
        <w:jc w:val="right"/>
        <w:rPr>
          <w:rFonts w:ascii="Times New Roman" w:hAnsi="Times New Roman"/>
          <w:sz w:val="24"/>
          <w:szCs w:val="24"/>
        </w:rPr>
      </w:pPr>
    </w:p>
    <w:p w14:paraId="6F98E43F" w14:textId="577938CD" w:rsidR="00C86212" w:rsidRDefault="00C86212" w:rsidP="00F707D3">
      <w:pPr>
        <w:tabs>
          <w:tab w:val="left" w:pos="1418"/>
        </w:tabs>
        <w:spacing w:after="0" w:line="240" w:lineRule="auto"/>
        <w:ind w:left="993"/>
        <w:contextualSpacing/>
        <w:jc w:val="right"/>
        <w:rPr>
          <w:rFonts w:ascii="Times New Roman" w:hAnsi="Times New Roman"/>
          <w:sz w:val="24"/>
          <w:szCs w:val="24"/>
        </w:rPr>
      </w:pPr>
    </w:p>
    <w:p w14:paraId="6084EA4F" w14:textId="661DD0BB" w:rsidR="00C86212" w:rsidRDefault="00C86212" w:rsidP="00F707D3">
      <w:pPr>
        <w:tabs>
          <w:tab w:val="left" w:pos="1418"/>
        </w:tabs>
        <w:spacing w:after="0" w:line="240" w:lineRule="auto"/>
        <w:ind w:left="993"/>
        <w:contextualSpacing/>
        <w:jc w:val="right"/>
        <w:rPr>
          <w:rFonts w:ascii="Times New Roman" w:hAnsi="Times New Roman"/>
          <w:sz w:val="24"/>
          <w:szCs w:val="24"/>
        </w:rPr>
      </w:pPr>
    </w:p>
    <w:p w14:paraId="20DD95B0" w14:textId="6FC44F29" w:rsidR="00C86212" w:rsidRDefault="00C86212" w:rsidP="00F707D3">
      <w:pPr>
        <w:tabs>
          <w:tab w:val="left" w:pos="1418"/>
        </w:tabs>
        <w:spacing w:after="0" w:line="240" w:lineRule="auto"/>
        <w:ind w:left="993"/>
        <w:contextualSpacing/>
        <w:jc w:val="right"/>
        <w:rPr>
          <w:rFonts w:ascii="Times New Roman" w:hAnsi="Times New Roman"/>
          <w:sz w:val="24"/>
          <w:szCs w:val="24"/>
        </w:rPr>
      </w:pPr>
    </w:p>
    <w:p w14:paraId="591DCA02" w14:textId="3F7A2A1B" w:rsidR="00C86212" w:rsidRDefault="00C86212" w:rsidP="00F707D3">
      <w:pPr>
        <w:tabs>
          <w:tab w:val="left" w:pos="1418"/>
        </w:tabs>
        <w:spacing w:after="0" w:line="240" w:lineRule="auto"/>
        <w:ind w:left="993"/>
        <w:contextualSpacing/>
        <w:jc w:val="right"/>
        <w:rPr>
          <w:rFonts w:ascii="Times New Roman" w:hAnsi="Times New Roman"/>
          <w:sz w:val="24"/>
          <w:szCs w:val="24"/>
        </w:rPr>
      </w:pPr>
    </w:p>
    <w:p w14:paraId="4CAE20D4" w14:textId="4F2E48BF" w:rsidR="0089613B" w:rsidRDefault="0089613B" w:rsidP="00F707D3">
      <w:pPr>
        <w:tabs>
          <w:tab w:val="left" w:pos="1418"/>
        </w:tabs>
        <w:spacing w:after="0" w:line="240" w:lineRule="auto"/>
        <w:ind w:left="993"/>
        <w:contextualSpacing/>
        <w:jc w:val="right"/>
        <w:rPr>
          <w:rFonts w:ascii="Times New Roman" w:hAnsi="Times New Roman"/>
          <w:sz w:val="24"/>
          <w:szCs w:val="24"/>
        </w:rPr>
      </w:pPr>
    </w:p>
    <w:p w14:paraId="3DA99829" w14:textId="2E3F2F64" w:rsidR="0089613B" w:rsidRDefault="0089613B" w:rsidP="00F707D3">
      <w:pPr>
        <w:tabs>
          <w:tab w:val="left" w:pos="1418"/>
        </w:tabs>
        <w:spacing w:after="0" w:line="240" w:lineRule="auto"/>
        <w:ind w:left="993"/>
        <w:contextualSpacing/>
        <w:jc w:val="right"/>
        <w:rPr>
          <w:rFonts w:ascii="Times New Roman" w:hAnsi="Times New Roman"/>
          <w:sz w:val="24"/>
          <w:szCs w:val="24"/>
        </w:rPr>
      </w:pPr>
    </w:p>
    <w:p w14:paraId="4909E8A4" w14:textId="1C2EC933" w:rsidR="0089613B" w:rsidRDefault="0089613B" w:rsidP="00F707D3">
      <w:pPr>
        <w:tabs>
          <w:tab w:val="left" w:pos="1418"/>
        </w:tabs>
        <w:spacing w:after="0" w:line="240" w:lineRule="auto"/>
        <w:ind w:left="993"/>
        <w:contextualSpacing/>
        <w:jc w:val="right"/>
        <w:rPr>
          <w:rFonts w:ascii="Times New Roman" w:hAnsi="Times New Roman"/>
          <w:sz w:val="24"/>
          <w:szCs w:val="24"/>
        </w:rPr>
      </w:pPr>
    </w:p>
    <w:p w14:paraId="49E97967" w14:textId="1CE33006" w:rsidR="0089613B" w:rsidRDefault="0089613B" w:rsidP="00F707D3">
      <w:pPr>
        <w:tabs>
          <w:tab w:val="left" w:pos="1418"/>
        </w:tabs>
        <w:spacing w:after="0" w:line="240" w:lineRule="auto"/>
        <w:ind w:left="993"/>
        <w:contextualSpacing/>
        <w:jc w:val="right"/>
        <w:rPr>
          <w:rFonts w:ascii="Times New Roman" w:hAnsi="Times New Roman"/>
          <w:sz w:val="24"/>
          <w:szCs w:val="24"/>
        </w:rPr>
      </w:pPr>
    </w:p>
    <w:p w14:paraId="52B61438" w14:textId="2E329178" w:rsidR="0089613B" w:rsidRDefault="0089613B" w:rsidP="00F707D3">
      <w:pPr>
        <w:tabs>
          <w:tab w:val="left" w:pos="1418"/>
        </w:tabs>
        <w:spacing w:after="0" w:line="240" w:lineRule="auto"/>
        <w:ind w:left="993"/>
        <w:contextualSpacing/>
        <w:jc w:val="right"/>
        <w:rPr>
          <w:rFonts w:ascii="Times New Roman" w:hAnsi="Times New Roman"/>
          <w:sz w:val="24"/>
          <w:szCs w:val="24"/>
        </w:rPr>
      </w:pPr>
    </w:p>
    <w:p w14:paraId="65037C5D" w14:textId="77777777" w:rsidR="0089613B" w:rsidRDefault="0089613B" w:rsidP="00F707D3">
      <w:pPr>
        <w:tabs>
          <w:tab w:val="left" w:pos="1418"/>
        </w:tabs>
        <w:spacing w:after="0" w:line="240" w:lineRule="auto"/>
        <w:ind w:left="993"/>
        <w:contextualSpacing/>
        <w:jc w:val="right"/>
        <w:rPr>
          <w:rFonts w:ascii="Times New Roman" w:hAnsi="Times New Roman"/>
          <w:sz w:val="24"/>
          <w:szCs w:val="24"/>
        </w:rPr>
      </w:pPr>
    </w:p>
    <w:p w14:paraId="12C1C9EF" w14:textId="2F6C7FDC" w:rsidR="00C86212" w:rsidRDefault="00C86212" w:rsidP="00F707D3">
      <w:pPr>
        <w:tabs>
          <w:tab w:val="left" w:pos="1418"/>
        </w:tabs>
        <w:spacing w:after="0" w:line="240" w:lineRule="auto"/>
        <w:ind w:left="993"/>
        <w:contextualSpacing/>
        <w:jc w:val="right"/>
        <w:rPr>
          <w:rFonts w:ascii="Times New Roman" w:hAnsi="Times New Roman"/>
          <w:sz w:val="24"/>
          <w:szCs w:val="24"/>
        </w:rPr>
      </w:pPr>
    </w:p>
    <w:p w14:paraId="7071F0F0" w14:textId="5E35151B" w:rsidR="00C86212" w:rsidRDefault="00C86212" w:rsidP="00F707D3">
      <w:pPr>
        <w:tabs>
          <w:tab w:val="left" w:pos="1418"/>
        </w:tabs>
        <w:spacing w:after="0" w:line="240" w:lineRule="auto"/>
        <w:ind w:left="993"/>
        <w:contextualSpacing/>
        <w:jc w:val="right"/>
        <w:rPr>
          <w:rFonts w:ascii="Times New Roman" w:hAnsi="Times New Roman"/>
          <w:sz w:val="24"/>
          <w:szCs w:val="24"/>
        </w:rPr>
      </w:pPr>
    </w:p>
    <w:p w14:paraId="2C16B2B7" w14:textId="77777777" w:rsidR="00F707D3" w:rsidRPr="00464FB9" w:rsidRDefault="004E47A2" w:rsidP="00F707D3">
      <w:pPr>
        <w:tabs>
          <w:tab w:val="left" w:pos="1418"/>
        </w:tabs>
        <w:spacing w:after="0" w:line="240" w:lineRule="auto"/>
        <w:ind w:left="993"/>
        <w:contextualSpacing/>
        <w:jc w:val="right"/>
        <w:rPr>
          <w:rFonts w:ascii="Times New Roman" w:hAnsi="Times New Roman"/>
          <w:lang w:eastAsia="lt-LT"/>
        </w:rPr>
      </w:pPr>
      <w:r w:rsidRPr="00531CBF">
        <w:rPr>
          <w:rFonts w:ascii="Times New Roman" w:hAnsi="Times New Roman"/>
          <w:lang w:val="en-US" w:eastAsia="lt-LT"/>
        </w:rPr>
        <w:lastRenderedPageBreak/>
        <w:t>Annex 2 to the Description</w:t>
      </w:r>
    </w:p>
    <w:p w14:paraId="7DD2E201" w14:textId="77777777" w:rsidR="00F707D3" w:rsidRPr="00464FB9" w:rsidRDefault="00F707D3" w:rsidP="00F707D3">
      <w:pPr>
        <w:spacing w:after="0" w:line="240" w:lineRule="auto"/>
        <w:ind w:right="-178"/>
        <w:jc w:val="center"/>
        <w:rPr>
          <w:rFonts w:ascii="Times New Roman" w:hAnsi="Times New Roman"/>
          <w:sz w:val="18"/>
          <w:lang w:eastAsia="lt-LT"/>
        </w:rPr>
      </w:pPr>
    </w:p>
    <w:p w14:paraId="1E35442A" w14:textId="77777777" w:rsidR="00F707D3" w:rsidRPr="00464FB9" w:rsidRDefault="004E47A2" w:rsidP="00F707D3">
      <w:pPr>
        <w:spacing w:after="0" w:line="240" w:lineRule="auto"/>
        <w:ind w:right="-178"/>
        <w:jc w:val="center"/>
        <w:rPr>
          <w:rFonts w:ascii="Times New Roman" w:hAnsi="Times New Roman"/>
          <w:sz w:val="18"/>
          <w:lang w:eastAsia="lt-LT"/>
        </w:rPr>
      </w:pPr>
      <w:r w:rsidRPr="00464FB9">
        <w:rPr>
          <w:rFonts w:ascii="Times New Roman" w:hAnsi="Times New Roman"/>
          <w:sz w:val="18"/>
          <w:lang w:val="en-US" w:eastAsia="lt-LT"/>
        </w:rPr>
        <w:t>Coat of arms or trademark</w:t>
      </w:r>
    </w:p>
    <w:p w14:paraId="7C84C636" w14:textId="77777777" w:rsidR="00F707D3" w:rsidRPr="00464FB9" w:rsidRDefault="004E47A2" w:rsidP="00F707D3">
      <w:pPr>
        <w:spacing w:after="0" w:line="240" w:lineRule="auto"/>
        <w:ind w:right="-178"/>
        <w:rPr>
          <w:rFonts w:ascii="Times New Roman" w:hAnsi="Times New Roman"/>
          <w:sz w:val="18"/>
          <w:lang w:eastAsia="lt-LT"/>
        </w:rPr>
      </w:pPr>
      <w:r w:rsidRPr="00464FB9">
        <w:rPr>
          <w:rFonts w:ascii="Times New Roman" w:hAnsi="Times New Roman"/>
          <w:sz w:val="18"/>
          <w:lang w:eastAsia="lt-LT"/>
        </w:rPr>
        <w:t xml:space="preserve">                                                           </w:t>
      </w:r>
    </w:p>
    <w:p w14:paraId="0CB50659" w14:textId="77777777" w:rsidR="00F707D3" w:rsidRPr="00464FB9" w:rsidRDefault="004E47A2" w:rsidP="00F707D3">
      <w:pPr>
        <w:spacing w:after="0" w:line="240" w:lineRule="auto"/>
        <w:ind w:right="-178"/>
        <w:jc w:val="center"/>
        <w:rPr>
          <w:rFonts w:ascii="Times New Roman" w:hAnsi="Times New Roman"/>
          <w:sz w:val="18"/>
          <w:lang w:eastAsia="lt-LT"/>
        </w:rPr>
      </w:pPr>
      <w:r w:rsidRPr="00464FB9">
        <w:rPr>
          <w:rFonts w:ascii="Times New Roman" w:hAnsi="Times New Roman"/>
          <w:sz w:val="18"/>
          <w:lang w:val="en-US" w:eastAsia="lt-LT"/>
        </w:rPr>
        <w:t>(name of legal entity)</w:t>
      </w:r>
    </w:p>
    <w:p w14:paraId="17C13A35" w14:textId="77777777" w:rsidR="00F707D3" w:rsidRPr="00464FB9" w:rsidRDefault="00F707D3" w:rsidP="00F707D3">
      <w:pPr>
        <w:spacing w:after="0" w:line="240" w:lineRule="auto"/>
        <w:ind w:right="-178"/>
        <w:jc w:val="center"/>
        <w:rPr>
          <w:rFonts w:ascii="Times New Roman" w:hAnsi="Times New Roman"/>
          <w:sz w:val="18"/>
          <w:lang w:eastAsia="lt-LT"/>
        </w:rPr>
      </w:pPr>
    </w:p>
    <w:p w14:paraId="6AE2CDBB" w14:textId="3C65AC1A" w:rsidR="00F707D3" w:rsidRPr="00464FB9" w:rsidRDefault="004E47A2" w:rsidP="00F707D3">
      <w:pPr>
        <w:spacing w:after="0" w:line="240" w:lineRule="auto"/>
        <w:ind w:right="-178"/>
        <w:jc w:val="center"/>
        <w:rPr>
          <w:rFonts w:ascii="Times New Roman" w:hAnsi="Times New Roman"/>
          <w:sz w:val="18"/>
          <w:lang w:eastAsia="lt-LT"/>
        </w:rPr>
      </w:pPr>
      <w:r w:rsidRPr="00464FB9">
        <w:rPr>
          <w:rFonts w:ascii="Times New Roman" w:hAnsi="Times New Roman"/>
          <w:sz w:val="18"/>
          <w:lang w:val="en-US" w:eastAsia="lt-LT"/>
        </w:rPr>
        <w:t xml:space="preserve">(Legal form of the legal person, registered office, contact information, name of the register in which the data on the supplier is collected and stored, code of the legal person, </w:t>
      </w:r>
      <w:r w:rsidR="00BF3A7D">
        <w:rPr>
          <w:rFonts w:ascii="Times New Roman" w:hAnsi="Times New Roman"/>
          <w:sz w:val="18"/>
          <w:lang w:val="en-US" w:eastAsia="lt-LT"/>
        </w:rPr>
        <w:t xml:space="preserve">VAT payer </w:t>
      </w:r>
      <w:r w:rsidRPr="00464FB9">
        <w:rPr>
          <w:rFonts w:ascii="Times New Roman" w:hAnsi="Times New Roman"/>
          <w:sz w:val="18"/>
          <w:lang w:val="en-US" w:eastAsia="lt-LT"/>
        </w:rPr>
        <w:t xml:space="preserve">code, if the legal person is a </w:t>
      </w:r>
      <w:r w:rsidR="00BF3A7D">
        <w:rPr>
          <w:rFonts w:ascii="Times New Roman" w:hAnsi="Times New Roman"/>
          <w:sz w:val="18"/>
          <w:lang w:val="en-US" w:eastAsia="lt-LT"/>
        </w:rPr>
        <w:t>VAT</w:t>
      </w:r>
      <w:r w:rsidRPr="00464FB9">
        <w:rPr>
          <w:rFonts w:ascii="Times New Roman" w:hAnsi="Times New Roman"/>
          <w:sz w:val="18"/>
          <w:lang w:val="en-US" w:eastAsia="lt-LT"/>
        </w:rPr>
        <w:t xml:space="preserve"> payer)</w:t>
      </w:r>
    </w:p>
    <w:p w14:paraId="19FB6DE8" w14:textId="77777777" w:rsidR="00F707D3" w:rsidRPr="00464FB9" w:rsidRDefault="00F707D3" w:rsidP="00F707D3">
      <w:pPr>
        <w:spacing w:after="0" w:line="240" w:lineRule="auto"/>
        <w:ind w:right="-178"/>
        <w:jc w:val="center"/>
        <w:rPr>
          <w:rFonts w:ascii="Times New Roman" w:hAnsi="Times New Roman"/>
          <w:lang w:eastAsia="lt-LT"/>
        </w:rPr>
      </w:pPr>
    </w:p>
    <w:p w14:paraId="5DB41134" w14:textId="77777777" w:rsidR="00F707D3" w:rsidRPr="00464FB9" w:rsidRDefault="00F707D3" w:rsidP="00F707D3">
      <w:pPr>
        <w:spacing w:after="0" w:line="240" w:lineRule="auto"/>
        <w:jc w:val="center"/>
        <w:rPr>
          <w:rFonts w:ascii="Times New Roman" w:hAnsi="Times New Roman"/>
          <w:b/>
          <w:bCs/>
          <w:lang w:eastAsia="lt-LT"/>
        </w:rPr>
      </w:pPr>
    </w:p>
    <w:p w14:paraId="6004F35F" w14:textId="77777777" w:rsidR="00F707D3" w:rsidRPr="00464FB9" w:rsidRDefault="004E47A2" w:rsidP="0009478C">
      <w:pPr>
        <w:spacing w:after="0" w:line="240" w:lineRule="auto"/>
        <w:jc w:val="center"/>
        <w:rPr>
          <w:rFonts w:ascii="Times New Roman" w:hAnsi="Times New Roman"/>
          <w:lang w:eastAsia="lt-LT"/>
        </w:rPr>
      </w:pPr>
      <w:r w:rsidRPr="00464FB9">
        <w:rPr>
          <w:rFonts w:ascii="Times New Roman" w:hAnsi="Times New Roman"/>
          <w:lang w:val="en-US" w:eastAsia="lt-LT"/>
        </w:rPr>
        <w:t xml:space="preserve">INVESTICIJŲ IR VERSLO GARANTIJOS UAB </w:t>
      </w:r>
    </w:p>
    <w:p w14:paraId="38F96A8A" w14:textId="77777777" w:rsidR="00F707D3" w:rsidRPr="00464FB9" w:rsidRDefault="00F707D3" w:rsidP="00F707D3">
      <w:pPr>
        <w:tabs>
          <w:tab w:val="center" w:pos="2520"/>
        </w:tabs>
        <w:spacing w:after="0" w:line="240" w:lineRule="auto"/>
        <w:jc w:val="both"/>
        <w:rPr>
          <w:rFonts w:ascii="Times New Roman" w:hAnsi="Times New Roman"/>
          <w:b/>
          <w:lang w:eastAsia="lt-LT"/>
        </w:rPr>
      </w:pPr>
    </w:p>
    <w:p w14:paraId="5379009B" w14:textId="77777777" w:rsidR="00F707D3" w:rsidRPr="00464FB9" w:rsidRDefault="004E47A2" w:rsidP="00F707D3">
      <w:pPr>
        <w:spacing w:after="0" w:line="240" w:lineRule="auto"/>
        <w:jc w:val="center"/>
        <w:rPr>
          <w:rFonts w:ascii="Times New Roman" w:hAnsi="Times New Roman"/>
          <w:b/>
          <w:lang w:eastAsia="lt-LT"/>
        </w:rPr>
      </w:pPr>
      <w:r w:rsidRPr="00464FB9">
        <w:rPr>
          <w:rFonts w:ascii="Times New Roman" w:hAnsi="Times New Roman"/>
          <w:b/>
          <w:lang w:val="en-US" w:eastAsia="lt-LT"/>
        </w:rPr>
        <w:t>APPLICATION</w:t>
      </w:r>
    </w:p>
    <w:p w14:paraId="6419174B" w14:textId="6FF7953C" w:rsidR="00F707D3" w:rsidRPr="00464FB9" w:rsidRDefault="00723055" w:rsidP="00F707D3">
      <w:pPr>
        <w:spacing w:after="0" w:line="240" w:lineRule="auto"/>
        <w:jc w:val="center"/>
        <w:rPr>
          <w:rFonts w:ascii="Times New Roman" w:hAnsi="Times New Roman"/>
          <w:b/>
          <w:lang w:eastAsia="lt-LT"/>
        </w:rPr>
      </w:pPr>
      <w:r>
        <w:rPr>
          <w:rFonts w:ascii="Times New Roman" w:hAnsi="Times New Roman"/>
          <w:b/>
          <w:lang w:eastAsia="lt-LT"/>
        </w:rPr>
        <w:t>FOR THE</w:t>
      </w:r>
      <w:r w:rsidR="004E47A2" w:rsidRPr="00464FB9">
        <w:rPr>
          <w:rFonts w:ascii="Times New Roman" w:hAnsi="Times New Roman"/>
          <w:b/>
          <w:lang w:val="en-US" w:eastAsia="lt-LT"/>
        </w:rPr>
        <w:t xml:space="preserve"> PARTICIPATION IN THE IMPLEMENTATION OF THE FINANCIAL INCENTIVE  </w:t>
      </w:r>
      <w:r w:rsidR="003F2A4B">
        <w:rPr>
          <w:rFonts w:ascii="Times New Roman" w:hAnsi="Times New Roman"/>
          <w:b/>
          <w:lang w:val="en-US" w:eastAsia="lt-LT"/>
        </w:rPr>
        <w:t>INSTRUMENT</w:t>
      </w:r>
      <w:r w:rsidR="004E47A2" w:rsidRPr="00464FB9">
        <w:rPr>
          <w:rFonts w:ascii="Times New Roman" w:hAnsi="Times New Roman"/>
          <w:b/>
          <w:lang w:val="en-US" w:eastAsia="lt-LT"/>
        </w:rPr>
        <w:t xml:space="preserve"> "TRADE CREDIT INSURANCE PORTFOLIO GUARANTEE" </w:t>
      </w:r>
    </w:p>
    <w:p w14:paraId="319F820C" w14:textId="77777777" w:rsidR="00F707D3" w:rsidRPr="00464FB9" w:rsidRDefault="00F707D3" w:rsidP="00F707D3">
      <w:pPr>
        <w:spacing w:after="0" w:line="240" w:lineRule="auto"/>
        <w:jc w:val="center"/>
        <w:rPr>
          <w:rFonts w:ascii="Times New Roman" w:hAnsi="Times New Roman"/>
          <w:b/>
          <w:i/>
          <w:lang w:eastAsia="lt-LT"/>
        </w:rPr>
      </w:pPr>
    </w:p>
    <w:p w14:paraId="4F4CCC1E" w14:textId="77777777" w:rsidR="00F707D3" w:rsidRPr="00464FB9" w:rsidRDefault="00F707D3" w:rsidP="00F707D3">
      <w:pPr>
        <w:spacing w:after="0" w:line="240" w:lineRule="auto"/>
        <w:jc w:val="center"/>
        <w:rPr>
          <w:rFonts w:ascii="Times New Roman" w:hAnsi="Times New Roman"/>
          <w:i/>
          <w:lang w:eastAsia="lt-LT"/>
        </w:rPr>
      </w:pPr>
    </w:p>
    <w:p w14:paraId="503F78DC" w14:textId="77777777" w:rsidR="00F707D3" w:rsidRPr="00464FB9" w:rsidRDefault="004E47A2" w:rsidP="00F707D3">
      <w:pPr>
        <w:shd w:val="clear" w:color="auto" w:fill="FFFFFF"/>
        <w:spacing w:after="0" w:line="240" w:lineRule="auto"/>
        <w:jc w:val="center"/>
        <w:rPr>
          <w:rFonts w:ascii="Times New Roman" w:hAnsi="Times New Roman"/>
          <w:b/>
          <w:bCs/>
          <w:color w:val="000000"/>
          <w:lang w:eastAsia="lt-LT"/>
        </w:rPr>
      </w:pPr>
      <w:r w:rsidRPr="00464FB9">
        <w:rPr>
          <w:rFonts w:ascii="Times New Roman" w:hAnsi="Times New Roman"/>
          <w:lang w:val="en-US" w:eastAsia="lt-LT"/>
        </w:rPr>
        <w:t xml:space="preserve">_____________ </w:t>
      </w:r>
      <w:proofErr w:type="gramStart"/>
      <w:r w:rsidRPr="00464FB9">
        <w:rPr>
          <w:rFonts w:ascii="Times New Roman" w:hAnsi="Times New Roman"/>
          <w:lang w:val="en-US" w:eastAsia="lt-LT"/>
        </w:rPr>
        <w:t>No .</w:t>
      </w:r>
      <w:proofErr w:type="gramEnd"/>
      <w:r w:rsidRPr="00464FB9">
        <w:rPr>
          <w:rFonts w:ascii="Times New Roman" w:hAnsi="Times New Roman"/>
          <w:lang w:val="en-US" w:eastAsia="lt-LT"/>
        </w:rPr>
        <w:t>______</w:t>
      </w:r>
    </w:p>
    <w:p w14:paraId="2E0C6138" w14:textId="77777777" w:rsidR="00F707D3" w:rsidRPr="00464FB9" w:rsidRDefault="004E47A2" w:rsidP="00F707D3">
      <w:pPr>
        <w:pBdr>
          <w:bottom w:val="single" w:sz="12" w:space="1" w:color="auto"/>
        </w:pBdr>
        <w:shd w:val="clear" w:color="auto" w:fill="FFFFFF"/>
        <w:spacing w:after="0" w:line="240" w:lineRule="auto"/>
        <w:jc w:val="center"/>
        <w:rPr>
          <w:rFonts w:ascii="Times New Roman" w:hAnsi="Times New Roman"/>
          <w:bCs/>
          <w:color w:val="000000"/>
          <w:lang w:eastAsia="lt-LT"/>
        </w:rPr>
      </w:pPr>
      <w:r w:rsidRPr="00464FB9">
        <w:rPr>
          <w:rFonts w:ascii="Times New Roman" w:hAnsi="Times New Roman"/>
          <w:bCs/>
          <w:color w:val="000000"/>
          <w:lang w:val="en-US" w:eastAsia="lt-LT"/>
        </w:rPr>
        <w:t>(Date)</w:t>
      </w:r>
    </w:p>
    <w:p w14:paraId="2BFA7E42" w14:textId="5B1ACEA6" w:rsidR="00F707D3" w:rsidRPr="00464FB9" w:rsidRDefault="004E47A2" w:rsidP="00F707D3">
      <w:pPr>
        <w:shd w:val="clear" w:color="auto" w:fill="FFFFFF"/>
        <w:spacing w:after="0" w:line="240" w:lineRule="auto"/>
        <w:jc w:val="center"/>
        <w:rPr>
          <w:rFonts w:ascii="Times New Roman" w:hAnsi="Times New Roman"/>
          <w:bCs/>
          <w:color w:val="000000"/>
          <w:lang w:eastAsia="lt-LT"/>
        </w:rPr>
      </w:pPr>
      <w:r w:rsidRPr="00464FB9">
        <w:rPr>
          <w:rFonts w:ascii="Times New Roman" w:hAnsi="Times New Roman"/>
          <w:bCs/>
          <w:color w:val="000000"/>
          <w:lang w:val="en-US" w:eastAsia="lt-LT"/>
        </w:rPr>
        <w:t>(Place)</w:t>
      </w:r>
    </w:p>
    <w:p w14:paraId="43CA6672" w14:textId="77777777" w:rsidR="00F707D3" w:rsidRPr="00464FB9" w:rsidRDefault="00F707D3" w:rsidP="00F707D3">
      <w:pPr>
        <w:spacing w:after="0" w:line="240" w:lineRule="auto"/>
        <w:jc w:val="center"/>
        <w:rPr>
          <w:rFonts w:ascii="Times New Roman" w:hAnsi="Times New Roman"/>
          <w:lang w:eastAsia="lt-LT"/>
        </w:rPr>
      </w:pPr>
    </w:p>
    <w:p w14:paraId="46C8ED4B" w14:textId="77777777" w:rsidR="00F707D3" w:rsidRPr="00464FB9" w:rsidRDefault="00F707D3" w:rsidP="00F707D3">
      <w:pPr>
        <w:spacing w:after="0" w:line="240" w:lineRule="auto"/>
        <w:jc w:val="center"/>
        <w:rPr>
          <w:rFonts w:ascii="Times New Roman" w:hAnsi="Times New Roman"/>
          <w:lang w:eastAsia="lt-LT"/>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8"/>
        <w:gridCol w:w="4817"/>
      </w:tblGrid>
      <w:tr w:rsidR="00796B74" w14:paraId="65827B1B" w14:textId="77777777" w:rsidTr="00372765">
        <w:tc>
          <w:tcPr>
            <w:tcW w:w="5068" w:type="dxa"/>
            <w:tcBorders>
              <w:top w:val="single" w:sz="4" w:space="0" w:color="auto"/>
              <w:left w:val="single" w:sz="4" w:space="0" w:color="auto"/>
              <w:bottom w:val="single" w:sz="4" w:space="0" w:color="auto"/>
              <w:right w:val="single" w:sz="4" w:space="0" w:color="auto"/>
            </w:tcBorders>
          </w:tcPr>
          <w:p w14:paraId="254433D5" w14:textId="77777777" w:rsidR="00F707D3" w:rsidRPr="00464FB9" w:rsidRDefault="004E47A2" w:rsidP="00F707D3">
            <w:pPr>
              <w:spacing w:after="0" w:line="240" w:lineRule="auto"/>
              <w:rPr>
                <w:rFonts w:ascii="Times New Roman" w:hAnsi="Times New Roman"/>
                <w:lang w:eastAsia="lt-LT"/>
              </w:rPr>
            </w:pPr>
            <w:r w:rsidRPr="00464FB9">
              <w:rPr>
                <w:rFonts w:ascii="Times New Roman" w:hAnsi="Times New Roman"/>
                <w:lang w:val="en-US" w:eastAsia="lt-LT"/>
              </w:rPr>
              <w:t xml:space="preserve">Name of the legal entity </w:t>
            </w:r>
          </w:p>
          <w:p w14:paraId="44854733" w14:textId="77777777" w:rsidR="00F233D6" w:rsidRPr="00464FB9" w:rsidRDefault="004E47A2" w:rsidP="00C57D7A">
            <w:pPr>
              <w:spacing w:after="0" w:line="240" w:lineRule="auto"/>
              <w:rPr>
                <w:rFonts w:ascii="Times New Roman" w:hAnsi="Times New Roman"/>
                <w:lang w:eastAsia="lt-LT"/>
              </w:rPr>
            </w:pPr>
            <w:r w:rsidRPr="00464FB9">
              <w:rPr>
                <w:rFonts w:ascii="Times New Roman" w:hAnsi="Times New Roman"/>
                <w:lang w:val="en-US" w:eastAsia="lt-LT"/>
              </w:rPr>
              <w:t>(hereinafter referred to as the Insurer)</w:t>
            </w:r>
          </w:p>
        </w:tc>
        <w:tc>
          <w:tcPr>
            <w:tcW w:w="4817" w:type="dxa"/>
            <w:tcBorders>
              <w:top w:val="single" w:sz="4" w:space="0" w:color="auto"/>
              <w:left w:val="single" w:sz="4" w:space="0" w:color="auto"/>
              <w:bottom w:val="single" w:sz="4" w:space="0" w:color="auto"/>
              <w:right w:val="single" w:sz="4" w:space="0" w:color="auto"/>
            </w:tcBorders>
          </w:tcPr>
          <w:p w14:paraId="48093AAE" w14:textId="77777777" w:rsidR="00F707D3" w:rsidRPr="00464FB9" w:rsidRDefault="00F707D3" w:rsidP="00F707D3">
            <w:pPr>
              <w:spacing w:after="0" w:line="240" w:lineRule="auto"/>
              <w:jc w:val="both"/>
              <w:rPr>
                <w:rFonts w:ascii="Times New Roman" w:hAnsi="Times New Roman"/>
                <w:lang w:eastAsia="lt-LT"/>
              </w:rPr>
            </w:pPr>
          </w:p>
          <w:p w14:paraId="251D062C" w14:textId="77777777" w:rsidR="00F707D3" w:rsidRPr="00464FB9" w:rsidRDefault="00F707D3" w:rsidP="00F707D3">
            <w:pPr>
              <w:spacing w:after="0" w:line="240" w:lineRule="auto"/>
              <w:jc w:val="both"/>
              <w:rPr>
                <w:rFonts w:ascii="Times New Roman" w:hAnsi="Times New Roman"/>
                <w:lang w:eastAsia="lt-LT"/>
              </w:rPr>
            </w:pPr>
          </w:p>
        </w:tc>
      </w:tr>
      <w:tr w:rsidR="00796B74" w14:paraId="0A4A7428" w14:textId="77777777" w:rsidTr="00372765">
        <w:tc>
          <w:tcPr>
            <w:tcW w:w="5068" w:type="dxa"/>
            <w:tcBorders>
              <w:top w:val="single" w:sz="4" w:space="0" w:color="auto"/>
              <w:left w:val="single" w:sz="4" w:space="0" w:color="auto"/>
              <w:bottom w:val="single" w:sz="4" w:space="0" w:color="auto"/>
              <w:right w:val="single" w:sz="4" w:space="0" w:color="auto"/>
            </w:tcBorders>
          </w:tcPr>
          <w:p w14:paraId="59B9B2B1" w14:textId="77777777" w:rsidR="00F707D3" w:rsidRPr="00464FB9" w:rsidRDefault="004E47A2" w:rsidP="00F707D3">
            <w:pPr>
              <w:spacing w:after="0" w:line="240" w:lineRule="auto"/>
              <w:jc w:val="both"/>
              <w:rPr>
                <w:rFonts w:ascii="Times New Roman" w:hAnsi="Times New Roman"/>
                <w:lang w:eastAsia="lt-LT"/>
              </w:rPr>
            </w:pPr>
            <w:r w:rsidRPr="00464FB9">
              <w:rPr>
                <w:rFonts w:ascii="Times New Roman" w:hAnsi="Times New Roman"/>
                <w:lang w:val="en-US" w:eastAsia="lt-LT"/>
              </w:rPr>
              <w:t xml:space="preserve">Registered office address </w:t>
            </w:r>
          </w:p>
        </w:tc>
        <w:tc>
          <w:tcPr>
            <w:tcW w:w="4817" w:type="dxa"/>
            <w:tcBorders>
              <w:top w:val="single" w:sz="4" w:space="0" w:color="auto"/>
              <w:left w:val="single" w:sz="4" w:space="0" w:color="auto"/>
              <w:bottom w:val="single" w:sz="4" w:space="0" w:color="auto"/>
              <w:right w:val="single" w:sz="4" w:space="0" w:color="auto"/>
            </w:tcBorders>
          </w:tcPr>
          <w:p w14:paraId="4409221E" w14:textId="77777777" w:rsidR="00F707D3" w:rsidRPr="00464FB9" w:rsidRDefault="00F707D3" w:rsidP="00F707D3">
            <w:pPr>
              <w:spacing w:after="0" w:line="240" w:lineRule="auto"/>
              <w:jc w:val="both"/>
              <w:rPr>
                <w:rFonts w:ascii="Times New Roman" w:hAnsi="Times New Roman"/>
                <w:lang w:eastAsia="lt-LT"/>
              </w:rPr>
            </w:pPr>
          </w:p>
          <w:p w14:paraId="2D6EAF5E" w14:textId="77777777" w:rsidR="00F707D3" w:rsidRPr="00464FB9" w:rsidRDefault="00F707D3" w:rsidP="00F707D3">
            <w:pPr>
              <w:spacing w:after="0" w:line="240" w:lineRule="auto"/>
              <w:jc w:val="both"/>
              <w:rPr>
                <w:rFonts w:ascii="Times New Roman" w:hAnsi="Times New Roman"/>
                <w:lang w:eastAsia="lt-LT"/>
              </w:rPr>
            </w:pPr>
          </w:p>
        </w:tc>
      </w:tr>
      <w:tr w:rsidR="00796B74" w14:paraId="7796772F" w14:textId="77777777" w:rsidTr="00372765">
        <w:tc>
          <w:tcPr>
            <w:tcW w:w="5068" w:type="dxa"/>
            <w:tcBorders>
              <w:top w:val="single" w:sz="4" w:space="0" w:color="auto"/>
              <w:left w:val="single" w:sz="4" w:space="0" w:color="auto"/>
              <w:bottom w:val="single" w:sz="4" w:space="0" w:color="auto"/>
              <w:right w:val="single" w:sz="4" w:space="0" w:color="auto"/>
            </w:tcBorders>
          </w:tcPr>
          <w:p w14:paraId="6556CF30" w14:textId="77777777" w:rsidR="00F707D3" w:rsidRPr="00464FB9" w:rsidRDefault="004E47A2" w:rsidP="00F707D3">
            <w:pPr>
              <w:spacing w:after="0" w:line="240" w:lineRule="auto"/>
              <w:jc w:val="both"/>
              <w:rPr>
                <w:rFonts w:ascii="Times New Roman" w:hAnsi="Times New Roman"/>
                <w:lang w:eastAsia="lt-LT"/>
              </w:rPr>
            </w:pPr>
            <w:r w:rsidRPr="00464FB9">
              <w:rPr>
                <w:rFonts w:ascii="Times New Roman" w:hAnsi="Times New Roman"/>
                <w:lang w:val="en-US" w:eastAsia="lt-LT"/>
              </w:rPr>
              <w:t>Name of the contact person responsible for the application</w:t>
            </w:r>
          </w:p>
        </w:tc>
        <w:tc>
          <w:tcPr>
            <w:tcW w:w="4817" w:type="dxa"/>
            <w:tcBorders>
              <w:top w:val="single" w:sz="4" w:space="0" w:color="auto"/>
              <w:left w:val="single" w:sz="4" w:space="0" w:color="auto"/>
              <w:bottom w:val="single" w:sz="4" w:space="0" w:color="auto"/>
              <w:right w:val="single" w:sz="4" w:space="0" w:color="auto"/>
            </w:tcBorders>
          </w:tcPr>
          <w:p w14:paraId="4E57482B" w14:textId="77777777" w:rsidR="00F707D3" w:rsidRPr="00464FB9" w:rsidRDefault="00F707D3" w:rsidP="00F707D3">
            <w:pPr>
              <w:spacing w:after="0" w:line="240" w:lineRule="auto"/>
              <w:jc w:val="both"/>
              <w:rPr>
                <w:rFonts w:ascii="Times New Roman" w:hAnsi="Times New Roman"/>
                <w:lang w:eastAsia="lt-LT"/>
              </w:rPr>
            </w:pPr>
          </w:p>
          <w:p w14:paraId="05786A66" w14:textId="77777777" w:rsidR="00F707D3" w:rsidRPr="00464FB9" w:rsidRDefault="00F707D3" w:rsidP="00F707D3">
            <w:pPr>
              <w:spacing w:after="0" w:line="240" w:lineRule="auto"/>
              <w:jc w:val="both"/>
              <w:rPr>
                <w:rFonts w:ascii="Times New Roman" w:hAnsi="Times New Roman"/>
                <w:lang w:eastAsia="lt-LT"/>
              </w:rPr>
            </w:pPr>
          </w:p>
        </w:tc>
      </w:tr>
      <w:tr w:rsidR="00796B74" w14:paraId="1A87E192" w14:textId="77777777" w:rsidTr="00372765">
        <w:tc>
          <w:tcPr>
            <w:tcW w:w="5068" w:type="dxa"/>
            <w:tcBorders>
              <w:top w:val="single" w:sz="4" w:space="0" w:color="auto"/>
              <w:left w:val="single" w:sz="4" w:space="0" w:color="auto"/>
              <w:bottom w:val="single" w:sz="4" w:space="0" w:color="auto"/>
              <w:right w:val="single" w:sz="4" w:space="0" w:color="auto"/>
            </w:tcBorders>
          </w:tcPr>
          <w:p w14:paraId="626745C0" w14:textId="77777777" w:rsidR="00F707D3" w:rsidRPr="00464FB9" w:rsidRDefault="004E47A2" w:rsidP="00F707D3">
            <w:pPr>
              <w:spacing w:after="0" w:line="240" w:lineRule="auto"/>
              <w:jc w:val="both"/>
              <w:rPr>
                <w:rFonts w:ascii="Times New Roman" w:hAnsi="Times New Roman"/>
                <w:lang w:eastAsia="lt-LT"/>
              </w:rPr>
            </w:pPr>
            <w:r w:rsidRPr="00464FB9">
              <w:rPr>
                <w:rFonts w:ascii="Times New Roman" w:hAnsi="Times New Roman"/>
                <w:lang w:val="en-US" w:eastAsia="lt-LT"/>
              </w:rPr>
              <w:t>Telephone number</w:t>
            </w:r>
          </w:p>
        </w:tc>
        <w:tc>
          <w:tcPr>
            <w:tcW w:w="4817" w:type="dxa"/>
            <w:tcBorders>
              <w:top w:val="single" w:sz="4" w:space="0" w:color="auto"/>
              <w:left w:val="single" w:sz="4" w:space="0" w:color="auto"/>
              <w:bottom w:val="single" w:sz="4" w:space="0" w:color="auto"/>
              <w:right w:val="single" w:sz="4" w:space="0" w:color="auto"/>
            </w:tcBorders>
          </w:tcPr>
          <w:p w14:paraId="2EEBC45F" w14:textId="77777777" w:rsidR="00F707D3" w:rsidRPr="00464FB9" w:rsidRDefault="00F707D3" w:rsidP="00F707D3">
            <w:pPr>
              <w:spacing w:after="0" w:line="240" w:lineRule="auto"/>
              <w:jc w:val="both"/>
              <w:rPr>
                <w:rFonts w:ascii="Times New Roman" w:hAnsi="Times New Roman"/>
                <w:lang w:eastAsia="lt-LT"/>
              </w:rPr>
            </w:pPr>
          </w:p>
          <w:p w14:paraId="25D94063" w14:textId="77777777" w:rsidR="00F707D3" w:rsidRPr="00464FB9" w:rsidRDefault="00F707D3" w:rsidP="00F707D3">
            <w:pPr>
              <w:spacing w:after="0" w:line="240" w:lineRule="auto"/>
              <w:jc w:val="both"/>
              <w:rPr>
                <w:rFonts w:ascii="Times New Roman" w:hAnsi="Times New Roman"/>
                <w:lang w:eastAsia="lt-LT"/>
              </w:rPr>
            </w:pPr>
          </w:p>
        </w:tc>
      </w:tr>
      <w:tr w:rsidR="00796B74" w14:paraId="402B1FC5" w14:textId="77777777" w:rsidTr="00372765">
        <w:tc>
          <w:tcPr>
            <w:tcW w:w="5068" w:type="dxa"/>
            <w:tcBorders>
              <w:top w:val="single" w:sz="4" w:space="0" w:color="auto"/>
              <w:left w:val="single" w:sz="4" w:space="0" w:color="auto"/>
              <w:bottom w:val="single" w:sz="4" w:space="0" w:color="auto"/>
              <w:right w:val="single" w:sz="4" w:space="0" w:color="auto"/>
            </w:tcBorders>
          </w:tcPr>
          <w:p w14:paraId="69E55C14" w14:textId="2E76A49A" w:rsidR="00F707D3" w:rsidRPr="00464FB9" w:rsidRDefault="004E47A2" w:rsidP="00F707D3">
            <w:pPr>
              <w:spacing w:after="0" w:line="240" w:lineRule="auto"/>
              <w:jc w:val="both"/>
              <w:rPr>
                <w:rFonts w:ascii="Times New Roman" w:hAnsi="Times New Roman"/>
                <w:lang w:eastAsia="lt-LT"/>
              </w:rPr>
            </w:pPr>
            <w:r w:rsidRPr="00464FB9">
              <w:rPr>
                <w:rFonts w:ascii="Times New Roman" w:hAnsi="Times New Roman"/>
                <w:lang w:val="en-US" w:eastAsia="lt-LT"/>
              </w:rPr>
              <w:t>E-mail a</w:t>
            </w:r>
            <w:r w:rsidR="00723055">
              <w:rPr>
                <w:rFonts w:ascii="Times New Roman" w:hAnsi="Times New Roman"/>
                <w:lang w:val="en-US" w:eastAsia="lt-LT"/>
              </w:rPr>
              <w:t>d</w:t>
            </w:r>
            <w:r w:rsidRPr="00464FB9">
              <w:rPr>
                <w:rFonts w:ascii="Times New Roman" w:hAnsi="Times New Roman"/>
                <w:lang w:val="en-US" w:eastAsia="lt-LT"/>
              </w:rPr>
              <w:t>dress</w:t>
            </w:r>
          </w:p>
        </w:tc>
        <w:tc>
          <w:tcPr>
            <w:tcW w:w="4817" w:type="dxa"/>
            <w:tcBorders>
              <w:top w:val="single" w:sz="4" w:space="0" w:color="auto"/>
              <w:left w:val="single" w:sz="4" w:space="0" w:color="auto"/>
              <w:bottom w:val="single" w:sz="4" w:space="0" w:color="auto"/>
              <w:right w:val="single" w:sz="4" w:space="0" w:color="auto"/>
            </w:tcBorders>
          </w:tcPr>
          <w:p w14:paraId="1F0A5464" w14:textId="77777777" w:rsidR="00F707D3" w:rsidRPr="00464FB9" w:rsidRDefault="00F707D3" w:rsidP="00F707D3">
            <w:pPr>
              <w:spacing w:after="0" w:line="240" w:lineRule="auto"/>
              <w:jc w:val="both"/>
              <w:rPr>
                <w:rFonts w:ascii="Times New Roman" w:hAnsi="Times New Roman"/>
                <w:lang w:eastAsia="lt-LT"/>
              </w:rPr>
            </w:pPr>
          </w:p>
          <w:p w14:paraId="6A545418" w14:textId="77777777" w:rsidR="00F707D3" w:rsidRPr="00464FB9" w:rsidRDefault="00F707D3" w:rsidP="00F707D3">
            <w:pPr>
              <w:spacing w:after="0" w:line="240" w:lineRule="auto"/>
              <w:jc w:val="both"/>
              <w:rPr>
                <w:rFonts w:ascii="Times New Roman" w:hAnsi="Times New Roman"/>
                <w:lang w:eastAsia="lt-LT"/>
              </w:rPr>
            </w:pPr>
          </w:p>
        </w:tc>
      </w:tr>
    </w:tbl>
    <w:p w14:paraId="516E967E" w14:textId="77777777" w:rsidR="002D39B0" w:rsidRPr="00464FB9" w:rsidRDefault="002D39B0" w:rsidP="00C57D7A">
      <w:pPr>
        <w:spacing w:after="0" w:line="240" w:lineRule="auto"/>
        <w:jc w:val="both"/>
        <w:rPr>
          <w:rFonts w:ascii="Times New Roman" w:hAnsi="Times New Roman"/>
          <w:lang w:eastAsia="lt-LT"/>
        </w:rPr>
      </w:pPr>
    </w:p>
    <w:p w14:paraId="1A903605" w14:textId="58615F79" w:rsidR="00F707D3" w:rsidRPr="00464FB9" w:rsidRDefault="004E47A2" w:rsidP="006E1A5C">
      <w:pPr>
        <w:spacing w:after="0" w:line="240" w:lineRule="auto"/>
        <w:ind w:right="-755" w:firstLine="720"/>
        <w:jc w:val="both"/>
        <w:rPr>
          <w:rFonts w:ascii="Times New Roman" w:hAnsi="Times New Roman"/>
          <w:sz w:val="20"/>
          <w:szCs w:val="20"/>
          <w:lang w:eastAsia="lt-LT"/>
        </w:rPr>
      </w:pPr>
      <w:r w:rsidRPr="00464FB9">
        <w:rPr>
          <w:rFonts w:ascii="Times New Roman" w:hAnsi="Times New Roman"/>
          <w:sz w:val="20"/>
          <w:szCs w:val="20"/>
          <w:lang w:val="en-US" w:eastAsia="lt-LT"/>
        </w:rPr>
        <w:t xml:space="preserve">With this application we note that we agree with all the conditions of the Description of the </w:t>
      </w:r>
      <w:r w:rsidR="00723055">
        <w:rPr>
          <w:rFonts w:ascii="Times New Roman" w:hAnsi="Times New Roman"/>
          <w:sz w:val="20"/>
          <w:szCs w:val="20"/>
          <w:lang w:val="en-US" w:eastAsia="lt-LT"/>
        </w:rPr>
        <w:t>C</w:t>
      </w:r>
      <w:r w:rsidRPr="00464FB9">
        <w:rPr>
          <w:rFonts w:ascii="Times New Roman" w:hAnsi="Times New Roman"/>
          <w:sz w:val="20"/>
          <w:szCs w:val="20"/>
          <w:lang w:val="en-US" w:eastAsia="lt-LT"/>
        </w:rPr>
        <w:t xml:space="preserve">onditions for the </w:t>
      </w:r>
      <w:r w:rsidR="00723055">
        <w:rPr>
          <w:rFonts w:ascii="Times New Roman" w:hAnsi="Times New Roman"/>
          <w:sz w:val="20"/>
          <w:szCs w:val="20"/>
          <w:lang w:val="en-US" w:eastAsia="lt-LT"/>
        </w:rPr>
        <w:t>I</w:t>
      </w:r>
      <w:r w:rsidRPr="00464FB9">
        <w:rPr>
          <w:rFonts w:ascii="Times New Roman" w:hAnsi="Times New Roman"/>
          <w:sz w:val="20"/>
          <w:szCs w:val="20"/>
          <w:lang w:val="en-US" w:eastAsia="lt-LT"/>
        </w:rPr>
        <w:t xml:space="preserve">mplementation of the INVEGA </w:t>
      </w:r>
      <w:r w:rsidR="001C575D">
        <w:rPr>
          <w:rFonts w:ascii="Times New Roman" w:hAnsi="Times New Roman"/>
          <w:sz w:val="20"/>
          <w:szCs w:val="20"/>
          <w:lang w:val="en-US" w:eastAsia="lt-LT"/>
        </w:rPr>
        <w:t>f</w:t>
      </w:r>
      <w:r w:rsidRPr="00464FB9">
        <w:rPr>
          <w:rFonts w:ascii="Times New Roman" w:hAnsi="Times New Roman"/>
          <w:sz w:val="20"/>
          <w:szCs w:val="20"/>
          <w:lang w:val="en-US" w:eastAsia="lt-LT"/>
        </w:rPr>
        <w:t xml:space="preserve">und Financial Incentive </w:t>
      </w:r>
      <w:r w:rsidR="003F2A4B">
        <w:rPr>
          <w:rFonts w:ascii="Times New Roman" w:hAnsi="Times New Roman"/>
          <w:sz w:val="20"/>
          <w:szCs w:val="20"/>
          <w:lang w:val="en-US" w:eastAsia="lt-LT"/>
        </w:rPr>
        <w:t>Instrument</w:t>
      </w:r>
      <w:r w:rsidRPr="00464FB9">
        <w:rPr>
          <w:rFonts w:ascii="Times New Roman" w:hAnsi="Times New Roman"/>
          <w:sz w:val="20"/>
          <w:szCs w:val="20"/>
          <w:lang w:val="en-US" w:eastAsia="lt-LT"/>
        </w:rPr>
        <w:t xml:space="preserve"> “Trade Credit Insurance Portfolio Guarantee” (hereinafter referred to as TCIPG), </w:t>
      </w:r>
    </w:p>
    <w:p w14:paraId="297513EB" w14:textId="1A500F51" w:rsidR="00F707D3" w:rsidRPr="00464FB9" w:rsidRDefault="004E47A2" w:rsidP="006E1A5C">
      <w:pPr>
        <w:spacing w:after="0" w:line="240" w:lineRule="auto"/>
        <w:ind w:right="-755" w:firstLine="720"/>
        <w:jc w:val="both"/>
        <w:rPr>
          <w:rFonts w:ascii="Times New Roman" w:hAnsi="Times New Roman"/>
          <w:sz w:val="20"/>
          <w:szCs w:val="20"/>
          <w:lang w:eastAsia="lt-LT"/>
        </w:rPr>
      </w:pPr>
      <w:r w:rsidRPr="00464FB9">
        <w:rPr>
          <w:rFonts w:ascii="Times New Roman" w:hAnsi="Times New Roman"/>
          <w:sz w:val="20"/>
          <w:szCs w:val="20"/>
          <w:lang w:val="en-US" w:eastAsia="lt-LT"/>
        </w:rPr>
        <w:t xml:space="preserve">We submit this application and documentation confirming our ability to implement the TCIPG and </w:t>
      </w:r>
      <w:r w:rsidR="00723055">
        <w:rPr>
          <w:rFonts w:ascii="Times New Roman" w:hAnsi="Times New Roman"/>
          <w:sz w:val="20"/>
          <w:szCs w:val="20"/>
          <w:lang w:val="en-US" w:eastAsia="lt-LT"/>
        </w:rPr>
        <w:t xml:space="preserve">our </w:t>
      </w:r>
      <w:r w:rsidRPr="00464FB9">
        <w:rPr>
          <w:rFonts w:ascii="Times New Roman" w:hAnsi="Times New Roman"/>
          <w:sz w:val="20"/>
          <w:szCs w:val="20"/>
          <w:lang w:val="en-US" w:eastAsia="lt-LT"/>
        </w:rPr>
        <w:t xml:space="preserve">compliance with the eligibility requirements and certify that: </w:t>
      </w:r>
    </w:p>
    <w:p w14:paraId="0B89D765" w14:textId="1356D26C" w:rsidR="00F707D3" w:rsidRPr="00464FB9" w:rsidRDefault="004E47A2" w:rsidP="006E1A5C">
      <w:pPr>
        <w:spacing w:after="0" w:line="240" w:lineRule="auto"/>
        <w:ind w:right="-755" w:firstLine="709"/>
        <w:jc w:val="both"/>
        <w:rPr>
          <w:rFonts w:ascii="Times New Roman" w:hAnsi="Times New Roman"/>
          <w:sz w:val="20"/>
          <w:szCs w:val="20"/>
          <w:lang w:eastAsia="lt-LT"/>
        </w:rPr>
      </w:pPr>
      <w:r w:rsidRPr="00464FB9">
        <w:rPr>
          <w:rFonts w:ascii="Times New Roman" w:hAnsi="Times New Roman"/>
          <w:sz w:val="20"/>
          <w:szCs w:val="20"/>
          <w:lang w:val="en-US" w:eastAsia="lt-LT"/>
        </w:rPr>
        <w:t>1)</w:t>
      </w:r>
      <w:bookmarkStart w:id="10" w:name="_Hlk35803962"/>
      <w:r w:rsidRPr="00464FB9">
        <w:rPr>
          <w:rFonts w:ascii="Times New Roman" w:hAnsi="Times New Roman"/>
          <w:sz w:val="20"/>
          <w:szCs w:val="20"/>
          <w:lang w:val="en-US" w:eastAsia="lt-LT"/>
        </w:rPr>
        <w:t xml:space="preserve"> the Insurer submitting the application</w:t>
      </w:r>
      <w:bookmarkEnd w:id="10"/>
      <w:r w:rsidRPr="00464FB9">
        <w:rPr>
          <w:rFonts w:ascii="Times New Roman" w:hAnsi="Times New Roman"/>
          <w:sz w:val="20"/>
          <w:szCs w:val="20"/>
          <w:lang w:val="en-US" w:eastAsia="lt-LT"/>
        </w:rPr>
        <w:t xml:space="preserve"> and its representatives know that the TCIPG </w:t>
      </w:r>
      <w:r w:rsidR="003F2A4B">
        <w:rPr>
          <w:rFonts w:ascii="Times New Roman" w:hAnsi="Times New Roman"/>
          <w:sz w:val="20"/>
          <w:szCs w:val="20"/>
          <w:lang w:val="en-US" w:eastAsia="lt-LT"/>
        </w:rPr>
        <w:t>instrument</w:t>
      </w:r>
      <w:r w:rsidRPr="00464FB9">
        <w:rPr>
          <w:rFonts w:ascii="Times New Roman" w:hAnsi="Times New Roman"/>
          <w:sz w:val="20"/>
          <w:szCs w:val="20"/>
          <w:lang w:val="en-US" w:eastAsia="lt-LT"/>
        </w:rPr>
        <w:t xml:space="preserve"> is financed from the state budget of the Republic of Lithuania;</w:t>
      </w:r>
    </w:p>
    <w:p w14:paraId="4218F9EF" w14:textId="04D335C8" w:rsidR="00F707D3" w:rsidRPr="00464FB9" w:rsidRDefault="004E47A2" w:rsidP="007A2A64">
      <w:pPr>
        <w:spacing w:after="0" w:line="240" w:lineRule="auto"/>
        <w:ind w:right="-709" w:firstLine="709"/>
        <w:jc w:val="both"/>
        <w:rPr>
          <w:rFonts w:ascii="Times New Roman" w:hAnsi="Times New Roman"/>
          <w:sz w:val="20"/>
          <w:szCs w:val="20"/>
          <w:lang w:eastAsia="lt-LT"/>
        </w:rPr>
      </w:pPr>
      <w:r w:rsidRPr="00464FB9">
        <w:rPr>
          <w:rFonts w:ascii="Times New Roman" w:hAnsi="Times New Roman"/>
          <w:sz w:val="20"/>
          <w:szCs w:val="20"/>
          <w:lang w:val="en-US" w:eastAsia="lt-LT"/>
        </w:rPr>
        <w:t xml:space="preserve">2) the Insurer submitting the application and its representatives confirm that the insurance fees and other payments paid to the Insurer participating in the TCIPG </w:t>
      </w:r>
      <w:r w:rsidR="003F2A4B">
        <w:rPr>
          <w:rFonts w:ascii="Times New Roman" w:hAnsi="Times New Roman"/>
          <w:sz w:val="20"/>
          <w:szCs w:val="20"/>
          <w:lang w:val="en-US" w:eastAsia="lt-LT"/>
        </w:rPr>
        <w:t>instrument</w:t>
      </w:r>
      <w:r w:rsidRPr="00464FB9">
        <w:rPr>
          <w:rFonts w:ascii="Times New Roman" w:hAnsi="Times New Roman"/>
          <w:sz w:val="20"/>
          <w:szCs w:val="20"/>
          <w:lang w:val="en-US" w:eastAsia="lt-LT"/>
        </w:rPr>
        <w:t xml:space="preserve"> will </w:t>
      </w:r>
      <w:r w:rsidR="00723055">
        <w:rPr>
          <w:rFonts w:ascii="Times New Roman" w:hAnsi="Times New Roman"/>
          <w:sz w:val="20"/>
          <w:szCs w:val="20"/>
          <w:lang w:val="en-US" w:eastAsia="lt-LT"/>
        </w:rPr>
        <w:t>correspond to</w:t>
      </w:r>
      <w:r w:rsidRPr="00464FB9">
        <w:rPr>
          <w:rFonts w:ascii="Times New Roman" w:hAnsi="Times New Roman"/>
          <w:sz w:val="20"/>
          <w:szCs w:val="20"/>
          <w:lang w:val="en-US" w:eastAsia="lt-LT"/>
        </w:rPr>
        <w:t xml:space="preserve"> the usual activities and practices of the Insurer and, if necessary and upon Invega's request, provide evidence thereof;</w:t>
      </w:r>
    </w:p>
    <w:p w14:paraId="53392129" w14:textId="607C2BB5" w:rsidR="00F707D3" w:rsidRPr="00464FB9" w:rsidRDefault="004E47A2" w:rsidP="007A2A64">
      <w:pPr>
        <w:spacing w:after="0" w:line="240" w:lineRule="auto"/>
        <w:ind w:right="-709" w:firstLine="709"/>
        <w:jc w:val="both"/>
        <w:rPr>
          <w:rFonts w:ascii="Times New Roman" w:hAnsi="Times New Roman"/>
          <w:sz w:val="20"/>
          <w:szCs w:val="20"/>
          <w:lang w:eastAsia="lt-LT"/>
        </w:rPr>
      </w:pPr>
      <w:r w:rsidRPr="00FE7CF5">
        <w:rPr>
          <w:rFonts w:ascii="Times New Roman" w:hAnsi="Times New Roman"/>
          <w:sz w:val="20"/>
          <w:szCs w:val="20"/>
          <w:lang w:val="en-US" w:eastAsia="lt-LT"/>
        </w:rPr>
        <w:t xml:space="preserve">3) Insolvency or restructuring proceedings have not been </w:t>
      </w:r>
      <w:r w:rsidR="00723055">
        <w:rPr>
          <w:rFonts w:ascii="Times New Roman" w:hAnsi="Times New Roman"/>
          <w:sz w:val="20"/>
          <w:szCs w:val="20"/>
          <w:lang w:val="en-US" w:eastAsia="lt-LT"/>
        </w:rPr>
        <w:t>initiated</w:t>
      </w:r>
      <w:r w:rsidRPr="00FE7CF5">
        <w:rPr>
          <w:rFonts w:ascii="Times New Roman" w:hAnsi="Times New Roman"/>
          <w:sz w:val="20"/>
          <w:szCs w:val="20"/>
          <w:lang w:val="en-US" w:eastAsia="lt-LT"/>
        </w:rPr>
        <w:t xml:space="preserve"> against the Insurer, a pre-trial investigation regarding its economic and commercial activities has not been initiated or it is not being liquidated, a decision of the creditors' meeting to conduct bankruptcy proceedings out of court has not been adopted;</w:t>
      </w:r>
    </w:p>
    <w:p w14:paraId="51BA0BD8" w14:textId="790813EA" w:rsidR="00F707D3" w:rsidRPr="00A82C7D" w:rsidRDefault="004E47A2" w:rsidP="00FE7CF5">
      <w:pPr>
        <w:spacing w:after="0" w:line="240" w:lineRule="auto"/>
        <w:ind w:right="-755" w:firstLine="709"/>
        <w:jc w:val="both"/>
        <w:rPr>
          <w:rFonts w:ascii="Times New Roman" w:hAnsi="Times New Roman"/>
          <w:sz w:val="20"/>
          <w:szCs w:val="20"/>
          <w:lang w:eastAsia="lt-LT"/>
        </w:rPr>
      </w:pPr>
      <w:r>
        <w:rPr>
          <w:rFonts w:ascii="Times New Roman" w:hAnsi="Times New Roman"/>
          <w:sz w:val="20"/>
          <w:szCs w:val="20"/>
          <w:lang w:val="en-US" w:eastAsia="lt-LT"/>
        </w:rPr>
        <w:t xml:space="preserve">4) at the time of submitting the application, the Insurer has fulfilled </w:t>
      </w:r>
      <w:r w:rsidR="00723055">
        <w:rPr>
          <w:rFonts w:ascii="Times New Roman" w:hAnsi="Times New Roman"/>
          <w:sz w:val="20"/>
          <w:szCs w:val="20"/>
          <w:lang w:val="en-US" w:eastAsia="lt-LT"/>
        </w:rPr>
        <w:t>its</w:t>
      </w:r>
      <w:r>
        <w:rPr>
          <w:rFonts w:ascii="Times New Roman" w:hAnsi="Times New Roman"/>
          <w:sz w:val="20"/>
          <w:szCs w:val="20"/>
          <w:lang w:val="en-US" w:eastAsia="lt-LT"/>
        </w:rPr>
        <w:t xml:space="preserve"> obligations related to the payment of taxes and social insurance contributions in accordance with the legal acts applicable to the activities of the insurance undertaking;</w:t>
      </w:r>
    </w:p>
    <w:p w14:paraId="69653129" w14:textId="77777777" w:rsidR="00F707D3" w:rsidRDefault="004E47A2" w:rsidP="0009478C">
      <w:pPr>
        <w:spacing w:after="0" w:line="240" w:lineRule="auto"/>
        <w:ind w:right="-755" w:firstLine="709"/>
        <w:jc w:val="both"/>
        <w:rPr>
          <w:rFonts w:ascii="Times New Roman" w:hAnsi="Times New Roman"/>
          <w:sz w:val="20"/>
          <w:szCs w:val="20"/>
          <w:lang w:eastAsia="lt-LT"/>
        </w:rPr>
      </w:pPr>
      <w:r>
        <w:rPr>
          <w:rFonts w:ascii="Times New Roman" w:hAnsi="Times New Roman"/>
          <w:sz w:val="20"/>
          <w:szCs w:val="20"/>
          <w:lang w:val="en-US" w:eastAsia="lt-LT"/>
        </w:rPr>
        <w:t xml:space="preserve">5) The Head of the Insurer </w:t>
      </w:r>
      <w:proofErr w:type="spellStart"/>
      <w:r>
        <w:rPr>
          <w:rFonts w:ascii="Times New Roman" w:hAnsi="Times New Roman"/>
          <w:sz w:val="20"/>
          <w:szCs w:val="20"/>
          <w:lang w:val="en-US" w:eastAsia="lt-LT"/>
        </w:rPr>
        <w:t>authorised</w:t>
      </w:r>
      <w:proofErr w:type="spellEnd"/>
      <w:r>
        <w:rPr>
          <w:rFonts w:ascii="Times New Roman" w:hAnsi="Times New Roman"/>
          <w:sz w:val="20"/>
          <w:szCs w:val="20"/>
          <w:lang w:val="en-US" w:eastAsia="lt-LT"/>
        </w:rPr>
        <w:t xml:space="preserve"> to conclude a transaction on behalf of the legal person, or the accountant (s) or other person (s) </w:t>
      </w:r>
      <w:proofErr w:type="spellStart"/>
      <w:r>
        <w:rPr>
          <w:rFonts w:ascii="Times New Roman" w:hAnsi="Times New Roman"/>
          <w:sz w:val="20"/>
          <w:szCs w:val="20"/>
          <w:lang w:val="en-US" w:eastAsia="lt-LT"/>
        </w:rPr>
        <w:t>authorised</w:t>
      </w:r>
      <w:proofErr w:type="spellEnd"/>
      <w:r>
        <w:rPr>
          <w:rFonts w:ascii="Times New Roman" w:hAnsi="Times New Roman"/>
          <w:sz w:val="20"/>
          <w:szCs w:val="20"/>
          <w:lang w:val="en-US" w:eastAsia="lt-LT"/>
        </w:rPr>
        <w:t xml:space="preserve"> to draw up and sign accounting documents, has (have) no unspent or unexpunged conviction and no judgement of conviction was passed and became effective against the them  within the past five years for participation in a group of accomplices, an </w:t>
      </w:r>
      <w:proofErr w:type="spellStart"/>
      <w:r>
        <w:rPr>
          <w:rFonts w:ascii="Times New Roman" w:hAnsi="Times New Roman"/>
          <w:sz w:val="20"/>
          <w:szCs w:val="20"/>
          <w:lang w:val="en-US" w:eastAsia="lt-LT"/>
        </w:rPr>
        <w:t>organised</w:t>
      </w:r>
      <w:proofErr w:type="spellEnd"/>
      <w:r>
        <w:rPr>
          <w:rFonts w:ascii="Times New Roman" w:hAnsi="Times New Roman"/>
          <w:sz w:val="20"/>
          <w:szCs w:val="20"/>
          <w:lang w:val="en-US" w:eastAsia="lt-LT"/>
        </w:rPr>
        <w:t xml:space="preserve"> group, a criminal </w:t>
      </w:r>
      <w:proofErr w:type="spellStart"/>
      <w:r>
        <w:rPr>
          <w:rFonts w:ascii="Times New Roman" w:hAnsi="Times New Roman"/>
          <w:sz w:val="20"/>
          <w:szCs w:val="20"/>
          <w:lang w:val="en-US" w:eastAsia="lt-LT"/>
        </w:rPr>
        <w:t>organisation</w:t>
      </w:r>
      <w:proofErr w:type="spellEnd"/>
      <w:r>
        <w:rPr>
          <w:rFonts w:ascii="Times New Roman" w:hAnsi="Times New Roman"/>
          <w:sz w:val="20"/>
          <w:szCs w:val="20"/>
          <w:lang w:val="en-US" w:eastAsia="lt-LT"/>
        </w:rPr>
        <w:t xml:space="preserve">, its formation or being in charge thereof, bribery, trading in influence or grafting, abuse of office, failure to fulfil the official duties, fraud, misappropriation of property, squandering of property, causing of property damage by deception, destruction of property or damage to property, unjust enrichment, smuggling, customs fraud, unlawful disposal of excise goods, unlawful export </w:t>
      </w:r>
      <w:r>
        <w:rPr>
          <w:rFonts w:ascii="Times New Roman" w:hAnsi="Times New Roman"/>
          <w:sz w:val="20"/>
          <w:szCs w:val="20"/>
          <w:lang w:val="en-US" w:eastAsia="lt-LT"/>
        </w:rPr>
        <w:lastRenderedPageBreak/>
        <w:t>of goods or products from the Republic of Lithuania, unlawful engagement in economic, commercial financial or professional activities, unlawful activities of the legal person, use of another’s trade mark, fraudulent statement concerning activities of the legal person, failure to pay taxes, use of a credit, loan or targeted support not in accordance with its purpose or the established procedure, credit fraud, bad faith of a debtor, criminal bankruptcy, production of a counterfeit electronic means of payment, forgery or unlawful possession of a genuine electronic means of payment or data thereof, unlawful use of an electronic means of payment or data thereof, provision of inaccurate data on income, profit or assets, failure to file a tax return or to submit a report or another document, fraudulent or negligent management of accounts, purchase or sale of crime-related property, laundering of crime-related money or property, production, storage or handling of counterfeit currency or securities, forgery of a document or possession of a forged document, forgery of a seal, stamp or form, involvement in any other unlawful activities detrimental to the financial instruments of the Republic of Lithuania and/or the EU;</w:t>
      </w:r>
    </w:p>
    <w:p w14:paraId="6A1BEDF9" w14:textId="35C2E424" w:rsidR="004A3DE3" w:rsidRPr="00535561" w:rsidRDefault="004E47A2" w:rsidP="0009478C">
      <w:pPr>
        <w:spacing w:after="0" w:line="240" w:lineRule="auto"/>
        <w:ind w:right="-755" w:firstLine="709"/>
        <w:jc w:val="both"/>
        <w:rPr>
          <w:rFonts w:ascii="Times New Roman" w:hAnsi="Times New Roman"/>
          <w:strike/>
          <w:sz w:val="20"/>
          <w:szCs w:val="20"/>
          <w:lang w:eastAsia="lt-LT"/>
        </w:rPr>
      </w:pPr>
      <w:r>
        <w:rPr>
          <w:rFonts w:ascii="Times New Roman" w:hAnsi="Times New Roman"/>
          <w:sz w:val="20"/>
          <w:szCs w:val="20"/>
          <w:lang w:val="en-US" w:eastAsia="lt-LT"/>
        </w:rPr>
        <w:t>6) The</w:t>
      </w:r>
      <w:bookmarkStart w:id="11" w:name="_Hlk36385011"/>
      <w:r>
        <w:rPr>
          <w:rFonts w:ascii="Times New Roman" w:hAnsi="Times New Roman"/>
          <w:sz w:val="20"/>
          <w:szCs w:val="20"/>
          <w:lang w:val="en-US" w:eastAsia="lt-LT"/>
        </w:rPr>
        <w:t xml:space="preserve"> Insurer and its representatives are informed and aware that the submission of false information, which Invega may prove by any lawful means, will result in the rejection of this application</w:t>
      </w:r>
      <w:bookmarkEnd w:id="11"/>
      <w:r>
        <w:rPr>
          <w:rFonts w:ascii="Times New Roman" w:hAnsi="Times New Roman"/>
          <w:sz w:val="20"/>
          <w:szCs w:val="20"/>
          <w:lang w:val="en-US" w:eastAsia="lt-LT"/>
        </w:rPr>
        <w:t>.</w:t>
      </w:r>
    </w:p>
    <w:p w14:paraId="4C8561DE" w14:textId="77777777" w:rsidR="00F707D3" w:rsidRPr="00535561" w:rsidRDefault="00F707D3" w:rsidP="0009478C">
      <w:pPr>
        <w:spacing w:after="0" w:line="240" w:lineRule="auto"/>
        <w:ind w:right="-755" w:firstLine="709"/>
        <w:jc w:val="both"/>
        <w:rPr>
          <w:rFonts w:ascii="Times New Roman" w:hAnsi="Times New Roman"/>
          <w:sz w:val="20"/>
          <w:szCs w:val="20"/>
          <w:lang w:eastAsia="lt-LT"/>
        </w:rPr>
      </w:pPr>
    </w:p>
    <w:p w14:paraId="34085784" w14:textId="77777777" w:rsidR="00F707D3" w:rsidRPr="00535561" w:rsidRDefault="00F707D3" w:rsidP="00F707D3">
      <w:pPr>
        <w:spacing w:after="0" w:line="240" w:lineRule="auto"/>
        <w:ind w:right="-755" w:firstLine="709"/>
        <w:jc w:val="both"/>
        <w:rPr>
          <w:rFonts w:ascii="Times New Roman" w:hAnsi="Times New Roman"/>
          <w:lang w:eastAsia="lt-LT"/>
        </w:rPr>
      </w:pPr>
    </w:p>
    <w:p w14:paraId="3F1242F0" w14:textId="77777777" w:rsidR="00F707D3" w:rsidRPr="00535561" w:rsidRDefault="004E47A2" w:rsidP="00F707D3">
      <w:pPr>
        <w:spacing w:after="0" w:line="240" w:lineRule="auto"/>
        <w:ind w:right="-755" w:firstLine="720"/>
        <w:jc w:val="both"/>
        <w:rPr>
          <w:rFonts w:ascii="Times New Roman" w:hAnsi="Times New Roman"/>
          <w:lang w:eastAsia="lt-LT"/>
        </w:rPr>
      </w:pPr>
      <w:r w:rsidRPr="00535561">
        <w:rPr>
          <w:rFonts w:ascii="Times New Roman" w:hAnsi="Times New Roman"/>
          <w:lang w:val="en-US" w:eastAsia="lt-LT"/>
        </w:rPr>
        <w:t>The application is accompanied by the following documents (by signing the application or each document with a secure electronic signature, we certify that the digital copies of the documents are genuine. In cases where the entire application with the attached documents is signed with a qualified electronic signature, it is not necessary to sign each document separately):</w:t>
      </w:r>
    </w:p>
    <w:p w14:paraId="3A9EBED0" w14:textId="77777777" w:rsidR="00F707D3" w:rsidRPr="00535561" w:rsidRDefault="00F707D3" w:rsidP="00F707D3">
      <w:pPr>
        <w:spacing w:after="0" w:line="240" w:lineRule="auto"/>
        <w:ind w:firstLine="720"/>
        <w:jc w:val="both"/>
        <w:rPr>
          <w:rFonts w:ascii="Times New Roman" w:hAnsi="Times New Roman"/>
          <w:lang w:eastAsia="lt-LT"/>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2297"/>
      </w:tblGrid>
      <w:tr w:rsidR="00796B74" w14:paraId="48AC2863" w14:textId="77777777" w:rsidTr="0083559D">
        <w:tc>
          <w:tcPr>
            <w:tcW w:w="675" w:type="dxa"/>
            <w:tcBorders>
              <w:top w:val="single" w:sz="4" w:space="0" w:color="auto"/>
              <w:left w:val="single" w:sz="4" w:space="0" w:color="auto"/>
              <w:bottom w:val="single" w:sz="4" w:space="0" w:color="auto"/>
              <w:right w:val="single" w:sz="4" w:space="0" w:color="auto"/>
            </w:tcBorders>
          </w:tcPr>
          <w:p w14:paraId="770B124B" w14:textId="77777777" w:rsidR="00F707D3" w:rsidRPr="00535561" w:rsidRDefault="004E47A2" w:rsidP="00F707D3">
            <w:pPr>
              <w:spacing w:after="0" w:line="240" w:lineRule="auto"/>
              <w:jc w:val="center"/>
              <w:rPr>
                <w:rFonts w:ascii="Times New Roman" w:hAnsi="Times New Roman"/>
                <w:b/>
                <w:lang w:eastAsia="lt-LT"/>
              </w:rPr>
            </w:pPr>
            <w:r w:rsidRPr="00535561">
              <w:rPr>
                <w:rFonts w:ascii="Times New Roman" w:hAnsi="Times New Roman"/>
                <w:b/>
                <w:lang w:val="en-US" w:eastAsia="lt-LT"/>
              </w:rPr>
              <w:t>No</w:t>
            </w:r>
          </w:p>
          <w:p w14:paraId="7EC9B430" w14:textId="77777777" w:rsidR="00F707D3" w:rsidRPr="00535561" w:rsidRDefault="00F707D3" w:rsidP="00F707D3">
            <w:pPr>
              <w:spacing w:after="0" w:line="240" w:lineRule="auto"/>
              <w:jc w:val="center"/>
              <w:rPr>
                <w:rFonts w:ascii="Times New Roman" w:hAnsi="Times New Roman"/>
                <w:b/>
                <w:sz w:val="12"/>
                <w:lang w:eastAsia="lt-LT"/>
              </w:rPr>
            </w:pPr>
          </w:p>
        </w:tc>
        <w:tc>
          <w:tcPr>
            <w:tcW w:w="6521" w:type="dxa"/>
            <w:tcBorders>
              <w:top w:val="single" w:sz="4" w:space="0" w:color="auto"/>
              <w:left w:val="single" w:sz="4" w:space="0" w:color="auto"/>
              <w:bottom w:val="single" w:sz="4" w:space="0" w:color="auto"/>
              <w:right w:val="single" w:sz="4" w:space="0" w:color="auto"/>
            </w:tcBorders>
          </w:tcPr>
          <w:p w14:paraId="1B1299D7" w14:textId="77777777" w:rsidR="00F707D3" w:rsidRPr="00535561" w:rsidRDefault="004E47A2" w:rsidP="00F707D3">
            <w:pPr>
              <w:spacing w:after="0" w:line="240" w:lineRule="auto"/>
              <w:jc w:val="center"/>
              <w:rPr>
                <w:rFonts w:ascii="Times New Roman" w:hAnsi="Times New Roman"/>
                <w:b/>
                <w:lang w:eastAsia="lt-LT"/>
              </w:rPr>
            </w:pPr>
            <w:r w:rsidRPr="00535561">
              <w:rPr>
                <w:rFonts w:ascii="Times New Roman" w:hAnsi="Times New Roman"/>
                <w:b/>
                <w:lang w:val="en-US" w:eastAsia="lt-LT"/>
              </w:rPr>
              <w:t>Title of documents submitted</w:t>
            </w:r>
          </w:p>
        </w:tc>
        <w:tc>
          <w:tcPr>
            <w:tcW w:w="2297" w:type="dxa"/>
            <w:tcBorders>
              <w:top w:val="single" w:sz="4" w:space="0" w:color="auto"/>
              <w:left w:val="single" w:sz="4" w:space="0" w:color="auto"/>
              <w:bottom w:val="single" w:sz="4" w:space="0" w:color="auto"/>
              <w:right w:val="single" w:sz="4" w:space="0" w:color="auto"/>
            </w:tcBorders>
          </w:tcPr>
          <w:p w14:paraId="33A47F15" w14:textId="77777777" w:rsidR="00F707D3" w:rsidRPr="00535561" w:rsidRDefault="004E47A2" w:rsidP="00F707D3">
            <w:pPr>
              <w:spacing w:after="0" w:line="240" w:lineRule="auto"/>
              <w:jc w:val="center"/>
              <w:rPr>
                <w:rFonts w:ascii="Times New Roman" w:hAnsi="Times New Roman"/>
                <w:b/>
                <w:lang w:eastAsia="lt-LT"/>
              </w:rPr>
            </w:pPr>
            <w:r w:rsidRPr="00535561">
              <w:rPr>
                <w:rFonts w:ascii="Times New Roman" w:hAnsi="Times New Roman"/>
                <w:b/>
                <w:lang w:val="en-US" w:eastAsia="lt-LT"/>
              </w:rPr>
              <w:t>Number of pages in the document</w:t>
            </w:r>
          </w:p>
        </w:tc>
      </w:tr>
      <w:tr w:rsidR="00796B74" w14:paraId="0D5D30D2" w14:textId="77777777" w:rsidTr="0083559D">
        <w:tc>
          <w:tcPr>
            <w:tcW w:w="675" w:type="dxa"/>
            <w:tcBorders>
              <w:top w:val="single" w:sz="4" w:space="0" w:color="auto"/>
              <w:left w:val="single" w:sz="4" w:space="0" w:color="auto"/>
              <w:bottom w:val="single" w:sz="4" w:space="0" w:color="auto"/>
              <w:right w:val="single" w:sz="4" w:space="0" w:color="auto"/>
            </w:tcBorders>
          </w:tcPr>
          <w:p w14:paraId="0F963D0D" w14:textId="77777777" w:rsidR="00F707D3" w:rsidRPr="00535561" w:rsidRDefault="004E47A2" w:rsidP="00F707D3">
            <w:pPr>
              <w:spacing w:after="0" w:line="240" w:lineRule="auto"/>
              <w:jc w:val="both"/>
              <w:rPr>
                <w:rFonts w:ascii="Times New Roman" w:hAnsi="Times New Roman"/>
                <w:b/>
                <w:lang w:eastAsia="lt-LT"/>
              </w:rPr>
            </w:pPr>
            <w:r>
              <w:rPr>
                <w:rFonts w:ascii="Times New Roman" w:hAnsi="Times New Roman"/>
                <w:b/>
                <w:lang w:val="en-US" w:eastAsia="lt-LT"/>
              </w:rPr>
              <w:t>1.</w:t>
            </w:r>
          </w:p>
        </w:tc>
        <w:tc>
          <w:tcPr>
            <w:tcW w:w="6521" w:type="dxa"/>
            <w:tcBorders>
              <w:top w:val="single" w:sz="4" w:space="0" w:color="auto"/>
              <w:left w:val="single" w:sz="4" w:space="0" w:color="auto"/>
              <w:bottom w:val="single" w:sz="4" w:space="0" w:color="auto"/>
              <w:right w:val="single" w:sz="4" w:space="0" w:color="auto"/>
            </w:tcBorders>
          </w:tcPr>
          <w:p w14:paraId="11B0E275" w14:textId="77777777" w:rsidR="00F707D3" w:rsidRPr="00213A97" w:rsidRDefault="004E47A2" w:rsidP="00F707D3">
            <w:pPr>
              <w:tabs>
                <w:tab w:val="left" w:pos="1296"/>
                <w:tab w:val="center" w:pos="4153"/>
                <w:tab w:val="right" w:pos="8306"/>
              </w:tabs>
              <w:spacing w:after="0" w:line="240" w:lineRule="auto"/>
              <w:jc w:val="both"/>
              <w:rPr>
                <w:rFonts w:ascii="Times New Roman" w:eastAsia="Times New Roman" w:hAnsi="Times New Roman"/>
                <w:lang w:eastAsia="lt-LT"/>
              </w:rPr>
            </w:pPr>
            <w:r>
              <w:rPr>
                <w:rFonts w:ascii="Times New Roman" w:hAnsi="Times New Roman"/>
                <w:spacing w:val="2"/>
                <w:shd w:val="clear" w:color="auto" w:fill="FFFFFF"/>
                <w:lang w:val="en-US"/>
              </w:rPr>
              <w:t>Insurance activity license</w:t>
            </w:r>
          </w:p>
        </w:tc>
        <w:tc>
          <w:tcPr>
            <w:tcW w:w="2297" w:type="dxa"/>
            <w:tcBorders>
              <w:top w:val="single" w:sz="4" w:space="0" w:color="auto"/>
              <w:left w:val="single" w:sz="4" w:space="0" w:color="auto"/>
              <w:bottom w:val="single" w:sz="4" w:space="0" w:color="auto"/>
              <w:right w:val="single" w:sz="4" w:space="0" w:color="auto"/>
            </w:tcBorders>
          </w:tcPr>
          <w:p w14:paraId="49EC67F6" w14:textId="77777777" w:rsidR="00F707D3" w:rsidRPr="00535561" w:rsidRDefault="00F707D3" w:rsidP="00F707D3">
            <w:pPr>
              <w:spacing w:after="0" w:line="240" w:lineRule="auto"/>
              <w:jc w:val="both"/>
              <w:rPr>
                <w:rFonts w:ascii="Times New Roman" w:hAnsi="Times New Roman"/>
                <w:lang w:eastAsia="lt-LT"/>
              </w:rPr>
            </w:pPr>
          </w:p>
        </w:tc>
      </w:tr>
      <w:tr w:rsidR="00796B74" w14:paraId="67C49BEB" w14:textId="77777777" w:rsidTr="0083559D">
        <w:tc>
          <w:tcPr>
            <w:tcW w:w="675" w:type="dxa"/>
            <w:tcBorders>
              <w:top w:val="single" w:sz="4" w:space="0" w:color="auto"/>
              <w:left w:val="single" w:sz="4" w:space="0" w:color="auto"/>
              <w:bottom w:val="single" w:sz="4" w:space="0" w:color="auto"/>
              <w:right w:val="single" w:sz="4" w:space="0" w:color="auto"/>
            </w:tcBorders>
          </w:tcPr>
          <w:p w14:paraId="4B26A3B5" w14:textId="77777777" w:rsidR="00F707D3" w:rsidRPr="00535561" w:rsidRDefault="004E47A2" w:rsidP="00F707D3">
            <w:pPr>
              <w:spacing w:after="0" w:line="240" w:lineRule="auto"/>
              <w:jc w:val="both"/>
              <w:rPr>
                <w:rFonts w:ascii="Times New Roman" w:hAnsi="Times New Roman"/>
                <w:b/>
                <w:lang w:eastAsia="lt-LT"/>
              </w:rPr>
            </w:pPr>
            <w:r>
              <w:rPr>
                <w:rFonts w:ascii="Times New Roman" w:hAnsi="Times New Roman"/>
                <w:b/>
                <w:lang w:val="en-US" w:eastAsia="lt-LT"/>
              </w:rPr>
              <w:t>2.</w:t>
            </w:r>
          </w:p>
        </w:tc>
        <w:tc>
          <w:tcPr>
            <w:tcW w:w="6521" w:type="dxa"/>
            <w:tcBorders>
              <w:top w:val="single" w:sz="4" w:space="0" w:color="auto"/>
              <w:left w:val="single" w:sz="4" w:space="0" w:color="auto"/>
              <w:bottom w:val="single" w:sz="4" w:space="0" w:color="auto"/>
              <w:right w:val="single" w:sz="4" w:space="0" w:color="auto"/>
            </w:tcBorders>
          </w:tcPr>
          <w:p w14:paraId="2463322B" w14:textId="5F5986BD" w:rsidR="00F707D3" w:rsidRPr="00B56B78" w:rsidRDefault="004E47A2" w:rsidP="00B56B78">
            <w:pPr>
              <w:spacing w:after="0"/>
              <w:jc w:val="both"/>
              <w:rPr>
                <w:rFonts w:ascii="Times New Roman" w:hAnsi="Times New Roman"/>
              </w:rPr>
            </w:pPr>
            <w:r w:rsidRPr="00B56B78">
              <w:rPr>
                <w:rFonts w:ascii="Times New Roman" w:hAnsi="Times New Roman"/>
                <w:lang w:val="en-US"/>
              </w:rPr>
              <w:t>The list providing information on at least 10 business entities insured by the Insurer in Lithuania (signed and valid insurance contracts) on 31 December 2019</w:t>
            </w:r>
          </w:p>
        </w:tc>
        <w:tc>
          <w:tcPr>
            <w:tcW w:w="2297" w:type="dxa"/>
            <w:tcBorders>
              <w:top w:val="single" w:sz="4" w:space="0" w:color="auto"/>
              <w:left w:val="single" w:sz="4" w:space="0" w:color="auto"/>
              <w:bottom w:val="single" w:sz="4" w:space="0" w:color="auto"/>
              <w:right w:val="single" w:sz="4" w:space="0" w:color="auto"/>
            </w:tcBorders>
          </w:tcPr>
          <w:p w14:paraId="0C88662E" w14:textId="77777777" w:rsidR="00F707D3" w:rsidRPr="00535561" w:rsidRDefault="00F707D3" w:rsidP="00F707D3">
            <w:pPr>
              <w:spacing w:after="0" w:line="240" w:lineRule="auto"/>
              <w:jc w:val="both"/>
              <w:rPr>
                <w:rFonts w:ascii="Times New Roman" w:hAnsi="Times New Roman"/>
                <w:lang w:eastAsia="lt-LT"/>
              </w:rPr>
            </w:pPr>
          </w:p>
        </w:tc>
      </w:tr>
      <w:tr w:rsidR="005F3B4E" w14:paraId="3A975C9C" w14:textId="77777777" w:rsidTr="0083559D">
        <w:tc>
          <w:tcPr>
            <w:tcW w:w="675" w:type="dxa"/>
            <w:tcBorders>
              <w:top w:val="single" w:sz="4" w:space="0" w:color="auto"/>
              <w:left w:val="single" w:sz="4" w:space="0" w:color="auto"/>
              <w:bottom w:val="single" w:sz="4" w:space="0" w:color="auto"/>
              <w:right w:val="single" w:sz="4" w:space="0" w:color="auto"/>
            </w:tcBorders>
          </w:tcPr>
          <w:p w14:paraId="7268C6C9" w14:textId="07DD4F42" w:rsidR="005F3B4E" w:rsidRDefault="005F3B4E" w:rsidP="00F707D3">
            <w:pPr>
              <w:spacing w:after="0" w:line="240" w:lineRule="auto"/>
              <w:jc w:val="both"/>
              <w:rPr>
                <w:rFonts w:ascii="Times New Roman" w:hAnsi="Times New Roman"/>
                <w:b/>
                <w:lang w:val="en-US" w:eastAsia="lt-LT"/>
              </w:rPr>
            </w:pPr>
            <w:r>
              <w:rPr>
                <w:rFonts w:ascii="Times New Roman" w:hAnsi="Times New Roman"/>
                <w:b/>
                <w:lang w:val="en-US" w:eastAsia="lt-LT"/>
              </w:rPr>
              <w:t>3.</w:t>
            </w:r>
          </w:p>
        </w:tc>
        <w:tc>
          <w:tcPr>
            <w:tcW w:w="6521" w:type="dxa"/>
            <w:tcBorders>
              <w:top w:val="single" w:sz="4" w:space="0" w:color="auto"/>
              <w:left w:val="single" w:sz="4" w:space="0" w:color="auto"/>
              <w:bottom w:val="single" w:sz="4" w:space="0" w:color="auto"/>
              <w:right w:val="single" w:sz="4" w:space="0" w:color="auto"/>
            </w:tcBorders>
          </w:tcPr>
          <w:p w14:paraId="389EF10D" w14:textId="43C556D4" w:rsidR="005F3B4E" w:rsidRPr="00FF0E30" w:rsidRDefault="005F3B4E" w:rsidP="00B56B78">
            <w:pPr>
              <w:spacing w:after="0"/>
              <w:jc w:val="both"/>
              <w:rPr>
                <w:rFonts w:ascii="Times New Roman" w:hAnsi="Times New Roman"/>
                <w:lang w:val="en-US"/>
              </w:rPr>
            </w:pPr>
            <w:r w:rsidRPr="005F3B4E">
              <w:rPr>
                <w:rFonts w:ascii="Times New Roman" w:hAnsi="Times New Roman"/>
                <w:lang w:val="en-US"/>
              </w:rPr>
              <w:t xml:space="preserve">Declaration </w:t>
            </w:r>
            <w:r>
              <w:rPr>
                <w:rFonts w:ascii="Times New Roman" w:hAnsi="Times New Roman"/>
                <w:lang w:val="en-US"/>
              </w:rPr>
              <w:t>about</w:t>
            </w:r>
            <w:r w:rsidRPr="005F3B4E">
              <w:rPr>
                <w:rFonts w:ascii="Times New Roman" w:hAnsi="Times New Roman"/>
                <w:lang w:val="en-US"/>
              </w:rPr>
              <w:t xml:space="preserve"> </w:t>
            </w:r>
            <w:r>
              <w:rPr>
                <w:rFonts w:ascii="Times New Roman" w:hAnsi="Times New Roman"/>
                <w:lang w:val="en-US"/>
              </w:rPr>
              <w:t>t</w:t>
            </w:r>
            <w:r w:rsidRPr="005F3B4E">
              <w:rPr>
                <w:rFonts w:ascii="Times New Roman" w:hAnsi="Times New Roman"/>
                <w:lang w:val="en-US"/>
              </w:rPr>
              <w:t>he amount of trade credit limits granted and valid to Lithuanian policyholders</w:t>
            </w:r>
            <w:r>
              <w:rPr>
                <w:rFonts w:ascii="Times New Roman" w:hAnsi="Times New Roman"/>
                <w:lang w:val="en-US"/>
              </w:rPr>
              <w:t xml:space="preserve"> on 31 December 2019</w:t>
            </w:r>
          </w:p>
        </w:tc>
        <w:tc>
          <w:tcPr>
            <w:tcW w:w="2297" w:type="dxa"/>
            <w:tcBorders>
              <w:top w:val="single" w:sz="4" w:space="0" w:color="auto"/>
              <w:left w:val="single" w:sz="4" w:space="0" w:color="auto"/>
              <w:bottom w:val="single" w:sz="4" w:space="0" w:color="auto"/>
              <w:right w:val="single" w:sz="4" w:space="0" w:color="auto"/>
            </w:tcBorders>
          </w:tcPr>
          <w:p w14:paraId="44924615" w14:textId="77777777" w:rsidR="005F3B4E" w:rsidRPr="00535561" w:rsidRDefault="005F3B4E" w:rsidP="00F707D3">
            <w:pPr>
              <w:spacing w:after="0" w:line="240" w:lineRule="auto"/>
              <w:jc w:val="both"/>
              <w:rPr>
                <w:rFonts w:ascii="Times New Roman" w:hAnsi="Times New Roman"/>
                <w:lang w:eastAsia="lt-LT"/>
              </w:rPr>
            </w:pPr>
          </w:p>
        </w:tc>
      </w:tr>
      <w:tr w:rsidR="00FF0E30" w14:paraId="31712D61" w14:textId="77777777" w:rsidTr="0083559D">
        <w:tc>
          <w:tcPr>
            <w:tcW w:w="675" w:type="dxa"/>
            <w:tcBorders>
              <w:top w:val="single" w:sz="4" w:space="0" w:color="auto"/>
              <w:left w:val="single" w:sz="4" w:space="0" w:color="auto"/>
              <w:bottom w:val="single" w:sz="4" w:space="0" w:color="auto"/>
              <w:right w:val="single" w:sz="4" w:space="0" w:color="auto"/>
            </w:tcBorders>
          </w:tcPr>
          <w:p w14:paraId="542EC2A4" w14:textId="4DBC16D9" w:rsidR="00FF0E30" w:rsidRDefault="005F3B4E" w:rsidP="00F707D3">
            <w:pPr>
              <w:spacing w:after="0" w:line="240" w:lineRule="auto"/>
              <w:jc w:val="both"/>
              <w:rPr>
                <w:rFonts w:ascii="Times New Roman" w:hAnsi="Times New Roman"/>
                <w:b/>
                <w:lang w:val="en-US" w:eastAsia="lt-LT"/>
              </w:rPr>
            </w:pPr>
            <w:r>
              <w:rPr>
                <w:rFonts w:ascii="Times New Roman" w:hAnsi="Times New Roman"/>
                <w:b/>
                <w:lang w:val="en-US" w:eastAsia="lt-LT"/>
              </w:rPr>
              <w:t>4</w:t>
            </w:r>
            <w:r w:rsidR="00FF0E30">
              <w:rPr>
                <w:rFonts w:ascii="Times New Roman" w:hAnsi="Times New Roman"/>
                <w:b/>
                <w:lang w:val="en-US" w:eastAsia="lt-LT"/>
              </w:rPr>
              <w:t>.</w:t>
            </w:r>
          </w:p>
        </w:tc>
        <w:tc>
          <w:tcPr>
            <w:tcW w:w="6521" w:type="dxa"/>
            <w:tcBorders>
              <w:top w:val="single" w:sz="4" w:space="0" w:color="auto"/>
              <w:left w:val="single" w:sz="4" w:space="0" w:color="auto"/>
              <w:bottom w:val="single" w:sz="4" w:space="0" w:color="auto"/>
              <w:right w:val="single" w:sz="4" w:space="0" w:color="auto"/>
            </w:tcBorders>
          </w:tcPr>
          <w:p w14:paraId="20EDF787" w14:textId="3453A0CC" w:rsidR="00FF0E30" w:rsidRPr="00B56B78" w:rsidRDefault="00FF0E30" w:rsidP="00B56B78">
            <w:pPr>
              <w:spacing w:after="0"/>
              <w:jc w:val="both"/>
              <w:rPr>
                <w:rFonts w:ascii="Times New Roman" w:hAnsi="Times New Roman"/>
                <w:lang w:val="en-US"/>
              </w:rPr>
            </w:pPr>
            <w:r w:rsidRPr="00FF0E30">
              <w:rPr>
                <w:rFonts w:ascii="Times New Roman" w:hAnsi="Times New Roman"/>
                <w:lang w:val="en-US"/>
              </w:rPr>
              <w:t>Power of Attorney, if the Application is signed by a person authorized by the Insurer</w:t>
            </w:r>
          </w:p>
        </w:tc>
        <w:tc>
          <w:tcPr>
            <w:tcW w:w="2297" w:type="dxa"/>
            <w:tcBorders>
              <w:top w:val="single" w:sz="4" w:space="0" w:color="auto"/>
              <w:left w:val="single" w:sz="4" w:space="0" w:color="auto"/>
              <w:bottom w:val="single" w:sz="4" w:space="0" w:color="auto"/>
              <w:right w:val="single" w:sz="4" w:space="0" w:color="auto"/>
            </w:tcBorders>
          </w:tcPr>
          <w:p w14:paraId="643DC9BC" w14:textId="77777777" w:rsidR="00FF0E30" w:rsidRPr="00535561" w:rsidRDefault="00FF0E30" w:rsidP="00F707D3">
            <w:pPr>
              <w:spacing w:after="0" w:line="240" w:lineRule="auto"/>
              <w:jc w:val="both"/>
              <w:rPr>
                <w:rFonts w:ascii="Times New Roman" w:hAnsi="Times New Roman"/>
                <w:lang w:eastAsia="lt-LT"/>
              </w:rPr>
            </w:pPr>
          </w:p>
        </w:tc>
      </w:tr>
    </w:tbl>
    <w:p w14:paraId="7C9E82D3" w14:textId="77777777" w:rsidR="00F707D3" w:rsidRPr="00535561" w:rsidRDefault="00F707D3" w:rsidP="00535561">
      <w:pPr>
        <w:tabs>
          <w:tab w:val="left" w:pos="851"/>
        </w:tabs>
        <w:autoSpaceDE w:val="0"/>
        <w:autoSpaceDN w:val="0"/>
        <w:adjustRightInd w:val="0"/>
        <w:spacing w:after="0" w:line="240" w:lineRule="auto"/>
        <w:ind w:right="-755" w:firstLine="709"/>
        <w:jc w:val="both"/>
        <w:rPr>
          <w:rFonts w:ascii="Times New Roman" w:hAnsi="Times New Roman"/>
          <w:sz w:val="18"/>
          <w:szCs w:val="18"/>
          <w:lang w:eastAsia="lt-LT"/>
        </w:rPr>
      </w:pPr>
    </w:p>
    <w:p w14:paraId="680DCD8A" w14:textId="77777777" w:rsidR="00F707D3" w:rsidRDefault="00F707D3" w:rsidP="00F707D3">
      <w:pPr>
        <w:spacing w:after="0" w:line="240" w:lineRule="auto"/>
        <w:ind w:firstLine="720"/>
        <w:jc w:val="both"/>
        <w:rPr>
          <w:rFonts w:ascii="Times New Roman" w:hAnsi="Times New Roman"/>
          <w:lang w:eastAsia="lt-LT"/>
        </w:rPr>
      </w:pPr>
    </w:p>
    <w:p w14:paraId="74930EC1" w14:textId="77777777" w:rsidR="00035106" w:rsidRDefault="00035106" w:rsidP="00F707D3">
      <w:pPr>
        <w:spacing w:after="0" w:line="240" w:lineRule="auto"/>
        <w:ind w:firstLine="720"/>
        <w:jc w:val="both"/>
        <w:rPr>
          <w:rFonts w:ascii="Times New Roman" w:hAnsi="Times New Roman"/>
          <w:lang w:eastAsia="lt-LT"/>
        </w:rPr>
      </w:pPr>
    </w:p>
    <w:p w14:paraId="48AA0A55" w14:textId="77777777" w:rsidR="00035106" w:rsidRDefault="00035106" w:rsidP="00F707D3">
      <w:pPr>
        <w:spacing w:after="0" w:line="240" w:lineRule="auto"/>
        <w:ind w:firstLine="720"/>
        <w:jc w:val="both"/>
        <w:rPr>
          <w:rFonts w:ascii="Times New Roman" w:hAnsi="Times New Roman"/>
          <w:lang w:eastAsia="lt-LT"/>
        </w:rPr>
      </w:pPr>
    </w:p>
    <w:tbl>
      <w:tblPr>
        <w:tblW w:w="0" w:type="auto"/>
        <w:tblLayout w:type="fixed"/>
        <w:tblLook w:val="01E0" w:firstRow="1" w:lastRow="1" w:firstColumn="1" w:lastColumn="1" w:noHBand="0" w:noVBand="0"/>
      </w:tblPr>
      <w:tblGrid>
        <w:gridCol w:w="2988"/>
        <w:gridCol w:w="296"/>
        <w:gridCol w:w="604"/>
        <w:gridCol w:w="1980"/>
        <w:gridCol w:w="701"/>
        <w:gridCol w:w="2611"/>
        <w:gridCol w:w="648"/>
      </w:tblGrid>
      <w:tr w:rsidR="00796B74" w14:paraId="4DE92D83" w14:textId="77777777" w:rsidTr="00372765">
        <w:trPr>
          <w:trHeight w:val="324"/>
        </w:trPr>
        <w:tc>
          <w:tcPr>
            <w:tcW w:w="9828" w:type="dxa"/>
            <w:gridSpan w:val="7"/>
          </w:tcPr>
          <w:p w14:paraId="3E5B4169" w14:textId="77777777" w:rsidR="00F707D3" w:rsidRPr="00535561" w:rsidRDefault="00F707D3" w:rsidP="00F707D3">
            <w:pPr>
              <w:spacing w:after="0" w:line="240" w:lineRule="auto"/>
              <w:ind w:right="-108" w:firstLine="720"/>
              <w:jc w:val="both"/>
              <w:rPr>
                <w:rFonts w:ascii="Times New Roman" w:hAnsi="Times New Roman"/>
                <w:lang w:eastAsia="lt-LT"/>
              </w:rPr>
            </w:pPr>
          </w:p>
        </w:tc>
      </w:tr>
      <w:tr w:rsidR="00796B74" w14:paraId="70813BB8" w14:textId="77777777" w:rsidTr="00372765">
        <w:tc>
          <w:tcPr>
            <w:tcW w:w="2988" w:type="dxa"/>
          </w:tcPr>
          <w:p w14:paraId="0583E8AA" w14:textId="77777777" w:rsidR="00F707D3" w:rsidRPr="00535561" w:rsidRDefault="00F707D3" w:rsidP="00F707D3">
            <w:pPr>
              <w:spacing w:after="0" w:line="240" w:lineRule="auto"/>
              <w:jc w:val="both"/>
              <w:rPr>
                <w:rFonts w:ascii="Times New Roman" w:hAnsi="Times New Roman"/>
                <w:lang w:eastAsia="lt-LT"/>
              </w:rPr>
            </w:pPr>
          </w:p>
        </w:tc>
        <w:tc>
          <w:tcPr>
            <w:tcW w:w="6840" w:type="dxa"/>
            <w:gridSpan w:val="6"/>
          </w:tcPr>
          <w:p w14:paraId="30816EB7" w14:textId="77777777" w:rsidR="00F707D3" w:rsidRPr="00535561" w:rsidRDefault="00F707D3" w:rsidP="00F707D3">
            <w:pPr>
              <w:spacing w:after="0" w:line="240" w:lineRule="auto"/>
              <w:jc w:val="both"/>
              <w:rPr>
                <w:rFonts w:ascii="Times New Roman" w:hAnsi="Times New Roman"/>
                <w:i/>
                <w:lang w:eastAsia="lt-LT"/>
              </w:rPr>
            </w:pPr>
          </w:p>
        </w:tc>
      </w:tr>
      <w:tr w:rsidR="00796B74" w14:paraId="67BCF674" w14:textId="77777777" w:rsidTr="00372765">
        <w:trPr>
          <w:trHeight w:val="285"/>
        </w:trPr>
        <w:tc>
          <w:tcPr>
            <w:tcW w:w="3284" w:type="dxa"/>
            <w:gridSpan w:val="2"/>
            <w:tcBorders>
              <w:top w:val="nil"/>
              <w:left w:val="nil"/>
              <w:bottom w:val="single" w:sz="4" w:space="0" w:color="auto"/>
              <w:right w:val="nil"/>
            </w:tcBorders>
          </w:tcPr>
          <w:p w14:paraId="28DCE87F" w14:textId="77777777" w:rsidR="00F707D3" w:rsidRPr="00535561" w:rsidRDefault="00F707D3" w:rsidP="00F707D3">
            <w:pPr>
              <w:spacing w:after="0" w:line="240" w:lineRule="auto"/>
              <w:ind w:right="-1"/>
              <w:rPr>
                <w:rFonts w:ascii="Times New Roman" w:hAnsi="Times New Roman"/>
                <w:lang w:eastAsia="lt-LT"/>
              </w:rPr>
            </w:pPr>
          </w:p>
        </w:tc>
        <w:tc>
          <w:tcPr>
            <w:tcW w:w="604" w:type="dxa"/>
          </w:tcPr>
          <w:p w14:paraId="3DD02448" w14:textId="77777777" w:rsidR="00F707D3" w:rsidRPr="00535561" w:rsidRDefault="00F707D3" w:rsidP="00F707D3">
            <w:pPr>
              <w:spacing w:after="0" w:line="240" w:lineRule="auto"/>
              <w:ind w:right="-1"/>
              <w:jc w:val="center"/>
              <w:rPr>
                <w:rFonts w:ascii="Times New Roman" w:hAnsi="Times New Roman"/>
                <w:lang w:eastAsia="lt-LT"/>
              </w:rPr>
            </w:pPr>
          </w:p>
        </w:tc>
        <w:tc>
          <w:tcPr>
            <w:tcW w:w="1980" w:type="dxa"/>
            <w:tcBorders>
              <w:top w:val="nil"/>
              <w:left w:val="nil"/>
              <w:bottom w:val="single" w:sz="4" w:space="0" w:color="auto"/>
              <w:right w:val="nil"/>
            </w:tcBorders>
          </w:tcPr>
          <w:p w14:paraId="750CB751" w14:textId="77777777" w:rsidR="00F707D3" w:rsidRPr="00535561" w:rsidRDefault="00F707D3" w:rsidP="00F707D3">
            <w:pPr>
              <w:spacing w:after="0" w:line="240" w:lineRule="auto"/>
              <w:ind w:right="-1"/>
              <w:jc w:val="center"/>
              <w:rPr>
                <w:rFonts w:ascii="Times New Roman" w:hAnsi="Times New Roman"/>
                <w:lang w:eastAsia="lt-LT"/>
              </w:rPr>
            </w:pPr>
          </w:p>
        </w:tc>
        <w:tc>
          <w:tcPr>
            <w:tcW w:w="701" w:type="dxa"/>
          </w:tcPr>
          <w:p w14:paraId="03E1A47A" w14:textId="77777777" w:rsidR="00F707D3" w:rsidRPr="00535561" w:rsidRDefault="00F707D3" w:rsidP="00F707D3">
            <w:pPr>
              <w:spacing w:after="0" w:line="240" w:lineRule="auto"/>
              <w:ind w:right="-1"/>
              <w:jc w:val="center"/>
              <w:rPr>
                <w:rFonts w:ascii="Times New Roman" w:hAnsi="Times New Roman"/>
                <w:lang w:eastAsia="lt-LT"/>
              </w:rPr>
            </w:pPr>
          </w:p>
        </w:tc>
        <w:tc>
          <w:tcPr>
            <w:tcW w:w="2611" w:type="dxa"/>
            <w:tcBorders>
              <w:top w:val="nil"/>
              <w:left w:val="nil"/>
              <w:bottom w:val="single" w:sz="4" w:space="0" w:color="auto"/>
              <w:right w:val="nil"/>
            </w:tcBorders>
          </w:tcPr>
          <w:p w14:paraId="026F8E27" w14:textId="77777777" w:rsidR="00F707D3" w:rsidRPr="00535561" w:rsidRDefault="00F707D3" w:rsidP="00F707D3">
            <w:pPr>
              <w:spacing w:after="0" w:line="240" w:lineRule="auto"/>
              <w:ind w:right="-1"/>
              <w:jc w:val="right"/>
              <w:rPr>
                <w:rFonts w:ascii="Times New Roman" w:hAnsi="Times New Roman"/>
                <w:lang w:eastAsia="lt-LT"/>
              </w:rPr>
            </w:pPr>
          </w:p>
        </w:tc>
        <w:tc>
          <w:tcPr>
            <w:tcW w:w="648" w:type="dxa"/>
          </w:tcPr>
          <w:p w14:paraId="0CAD19A1" w14:textId="77777777" w:rsidR="00F707D3" w:rsidRPr="00535561" w:rsidRDefault="00F707D3" w:rsidP="00F707D3">
            <w:pPr>
              <w:spacing w:after="0" w:line="240" w:lineRule="auto"/>
              <w:ind w:right="-1"/>
              <w:jc w:val="right"/>
              <w:rPr>
                <w:rFonts w:ascii="Times New Roman" w:hAnsi="Times New Roman"/>
                <w:lang w:eastAsia="lt-LT"/>
              </w:rPr>
            </w:pPr>
          </w:p>
        </w:tc>
      </w:tr>
      <w:tr w:rsidR="00796B74" w14:paraId="4C7EE756" w14:textId="77777777" w:rsidTr="00372765">
        <w:trPr>
          <w:trHeight w:val="186"/>
        </w:trPr>
        <w:tc>
          <w:tcPr>
            <w:tcW w:w="3284" w:type="dxa"/>
            <w:gridSpan w:val="2"/>
            <w:tcBorders>
              <w:top w:val="single" w:sz="4" w:space="0" w:color="auto"/>
              <w:left w:val="nil"/>
              <w:bottom w:val="nil"/>
              <w:right w:val="nil"/>
            </w:tcBorders>
          </w:tcPr>
          <w:p w14:paraId="57479D1E" w14:textId="77777777" w:rsidR="00F707D3" w:rsidRPr="00535561" w:rsidRDefault="004E47A2" w:rsidP="00A82C7D">
            <w:pPr>
              <w:snapToGrid w:val="0"/>
              <w:spacing w:after="0" w:line="240" w:lineRule="auto"/>
              <w:rPr>
                <w:rFonts w:ascii="Times New Roman" w:eastAsia="Times New Roman" w:hAnsi="Times New Roman"/>
                <w:position w:val="6"/>
              </w:rPr>
            </w:pPr>
            <w:r w:rsidRPr="00535561">
              <w:rPr>
                <w:rFonts w:ascii="Times New Roman" w:eastAsia="Times New Roman" w:hAnsi="Times New Roman"/>
                <w:position w:val="6"/>
                <w:lang w:val="en-US"/>
              </w:rPr>
              <w:t>(Job title)</w:t>
            </w:r>
          </w:p>
        </w:tc>
        <w:tc>
          <w:tcPr>
            <w:tcW w:w="604" w:type="dxa"/>
          </w:tcPr>
          <w:p w14:paraId="71636269" w14:textId="77777777" w:rsidR="00F707D3" w:rsidRPr="00535561" w:rsidRDefault="00F707D3" w:rsidP="00F707D3">
            <w:pPr>
              <w:spacing w:after="0" w:line="240" w:lineRule="auto"/>
              <w:ind w:right="-1"/>
              <w:jc w:val="center"/>
              <w:rPr>
                <w:rFonts w:ascii="Times New Roman" w:hAnsi="Times New Roman"/>
                <w:lang w:eastAsia="lt-LT"/>
              </w:rPr>
            </w:pPr>
          </w:p>
        </w:tc>
        <w:tc>
          <w:tcPr>
            <w:tcW w:w="1980" w:type="dxa"/>
            <w:tcBorders>
              <w:top w:val="single" w:sz="4" w:space="0" w:color="auto"/>
              <w:left w:val="nil"/>
              <w:bottom w:val="nil"/>
              <w:right w:val="nil"/>
            </w:tcBorders>
          </w:tcPr>
          <w:p w14:paraId="0CC3402C" w14:textId="77777777" w:rsidR="00F707D3" w:rsidRPr="00535561" w:rsidRDefault="004E47A2" w:rsidP="00A82C7D">
            <w:pPr>
              <w:spacing w:after="0" w:line="240" w:lineRule="auto"/>
              <w:ind w:right="-1"/>
              <w:jc w:val="center"/>
              <w:rPr>
                <w:rFonts w:ascii="Times New Roman" w:hAnsi="Times New Roman"/>
                <w:lang w:eastAsia="lt-LT"/>
              </w:rPr>
            </w:pPr>
            <w:r w:rsidRPr="00535561">
              <w:rPr>
                <w:rFonts w:ascii="Times New Roman" w:hAnsi="Times New Roman"/>
                <w:position w:val="6"/>
                <w:lang w:val="en-US" w:eastAsia="lt-LT"/>
              </w:rPr>
              <w:t xml:space="preserve">(Signature) </w:t>
            </w:r>
          </w:p>
        </w:tc>
        <w:tc>
          <w:tcPr>
            <w:tcW w:w="701" w:type="dxa"/>
          </w:tcPr>
          <w:p w14:paraId="39818C5C" w14:textId="77777777" w:rsidR="00F707D3" w:rsidRPr="00535561" w:rsidRDefault="00F707D3" w:rsidP="00F707D3">
            <w:pPr>
              <w:spacing w:after="0" w:line="240" w:lineRule="auto"/>
              <w:ind w:right="-1"/>
              <w:jc w:val="center"/>
              <w:rPr>
                <w:rFonts w:ascii="Times New Roman" w:hAnsi="Times New Roman"/>
                <w:lang w:eastAsia="lt-LT"/>
              </w:rPr>
            </w:pPr>
          </w:p>
        </w:tc>
        <w:tc>
          <w:tcPr>
            <w:tcW w:w="2611" w:type="dxa"/>
            <w:tcBorders>
              <w:top w:val="single" w:sz="4" w:space="0" w:color="auto"/>
              <w:left w:val="nil"/>
              <w:bottom w:val="nil"/>
              <w:right w:val="nil"/>
            </w:tcBorders>
          </w:tcPr>
          <w:p w14:paraId="39F27DFD" w14:textId="77777777" w:rsidR="00F707D3" w:rsidRPr="00535561" w:rsidRDefault="004E47A2" w:rsidP="00A82C7D">
            <w:pPr>
              <w:spacing w:after="0" w:line="240" w:lineRule="auto"/>
              <w:ind w:right="-1"/>
              <w:jc w:val="center"/>
              <w:rPr>
                <w:rFonts w:ascii="Times New Roman" w:hAnsi="Times New Roman"/>
                <w:lang w:eastAsia="lt-LT"/>
              </w:rPr>
            </w:pPr>
            <w:r w:rsidRPr="00535561">
              <w:rPr>
                <w:rFonts w:ascii="Times New Roman" w:hAnsi="Times New Roman"/>
                <w:position w:val="6"/>
                <w:lang w:val="en-US" w:eastAsia="lt-LT"/>
              </w:rPr>
              <w:t xml:space="preserve">(Name and surname) </w:t>
            </w:r>
          </w:p>
        </w:tc>
        <w:tc>
          <w:tcPr>
            <w:tcW w:w="648" w:type="dxa"/>
          </w:tcPr>
          <w:p w14:paraId="26D82136" w14:textId="77777777" w:rsidR="00F707D3" w:rsidRPr="00535561" w:rsidRDefault="00F707D3" w:rsidP="00F707D3">
            <w:pPr>
              <w:spacing w:after="0" w:line="240" w:lineRule="auto"/>
              <w:ind w:right="-1"/>
              <w:jc w:val="center"/>
              <w:rPr>
                <w:rFonts w:ascii="Times New Roman" w:hAnsi="Times New Roman"/>
                <w:lang w:eastAsia="lt-LT"/>
              </w:rPr>
            </w:pPr>
          </w:p>
        </w:tc>
      </w:tr>
    </w:tbl>
    <w:p w14:paraId="3B7DBC76" w14:textId="77777777" w:rsidR="006E7051" w:rsidRPr="00464FB9" w:rsidRDefault="006E7051">
      <w:pPr>
        <w:spacing w:after="0" w:line="240" w:lineRule="auto"/>
        <w:rPr>
          <w:rFonts w:ascii="Times New Roman" w:hAnsi="Times New Roman"/>
          <w:sz w:val="24"/>
          <w:szCs w:val="24"/>
        </w:rPr>
        <w:sectPr w:rsidR="006E7051" w:rsidRPr="00464FB9" w:rsidSect="00FE7CF5">
          <w:pgSz w:w="11906" w:h="16838"/>
          <w:pgMar w:top="993" w:right="1416" w:bottom="851" w:left="1701" w:header="454" w:footer="567" w:gutter="0"/>
          <w:cols w:space="1296"/>
          <w:titlePg/>
          <w:docGrid w:linePitch="360"/>
        </w:sectPr>
      </w:pPr>
    </w:p>
    <w:p w14:paraId="61B3DC1F" w14:textId="77777777" w:rsidR="006E1A5C" w:rsidRPr="007A2A64" w:rsidRDefault="006E1A5C" w:rsidP="00215902">
      <w:pPr>
        <w:spacing w:after="0" w:line="240" w:lineRule="auto"/>
        <w:rPr>
          <w:rFonts w:ascii="Times New Roman" w:hAnsi="Times New Roman"/>
          <w:sz w:val="24"/>
          <w:szCs w:val="24"/>
        </w:rPr>
      </w:pPr>
    </w:p>
    <w:sectPr w:rsidR="006E1A5C" w:rsidRPr="007A2A64" w:rsidSect="003355D4">
      <w:pgSz w:w="16838" w:h="11906" w:orient="landscape"/>
      <w:pgMar w:top="1701" w:right="993" w:bottom="709" w:left="851" w:header="454"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A03C2" w14:textId="77777777" w:rsidR="00282A98" w:rsidRDefault="00282A98">
      <w:pPr>
        <w:spacing w:after="0" w:line="240" w:lineRule="auto"/>
      </w:pPr>
      <w:r>
        <w:separator/>
      </w:r>
    </w:p>
  </w:endnote>
  <w:endnote w:type="continuationSeparator" w:id="0">
    <w:p w14:paraId="526992D2" w14:textId="77777777" w:rsidR="00282A98" w:rsidRDefault="00282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LT">
    <w:altName w:val="Times New Roman"/>
    <w:charset w:val="00"/>
    <w:family w:val="auto"/>
    <w:pitch w:val="variable"/>
    <w:sig w:usb0="00000003" w:usb1="00000000" w:usb2="00000000" w:usb3="00000000" w:csb0="00000001" w:csb1="00000000"/>
  </w:font>
  <w:font w:name="Bookman Old Style">
    <w:panose1 w:val="02050604050505020204"/>
    <w:charset w:val="BA"/>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C00AE" w14:textId="77777777" w:rsidR="00282A98" w:rsidRPr="008218C1" w:rsidRDefault="00282A98">
    <w:pPr>
      <w:pStyle w:val="Footer"/>
      <w:jc w:val="center"/>
      <w:rPr>
        <w:rFonts w:ascii="Times New Roman" w:hAnsi="Times New Roman"/>
        <w:sz w:val="24"/>
      </w:rPr>
    </w:pPr>
    <w:r w:rsidRPr="008218C1">
      <w:rPr>
        <w:rFonts w:ascii="Times New Roman" w:hAnsi="Times New Roman"/>
        <w:sz w:val="24"/>
      </w:rPr>
      <w:fldChar w:fldCharType="begin"/>
    </w:r>
    <w:r w:rsidRPr="008218C1">
      <w:rPr>
        <w:rFonts w:ascii="Times New Roman" w:hAnsi="Times New Roman"/>
        <w:sz w:val="24"/>
      </w:rPr>
      <w:instrText xml:space="preserve"> PAGE   \* MERGEFORMAT </w:instrText>
    </w:r>
    <w:r w:rsidRPr="008218C1">
      <w:rPr>
        <w:rFonts w:ascii="Times New Roman" w:hAnsi="Times New Roman"/>
        <w:sz w:val="24"/>
      </w:rPr>
      <w:fldChar w:fldCharType="separate"/>
    </w:r>
    <w:r>
      <w:rPr>
        <w:rFonts w:ascii="Times New Roman" w:hAnsi="Times New Roman"/>
        <w:noProof/>
        <w:sz w:val="24"/>
      </w:rPr>
      <w:t>19</w:t>
    </w:r>
    <w:r w:rsidRPr="008218C1">
      <w:rPr>
        <w:rFonts w:ascii="Times New Roman" w:hAnsi="Times New Roman"/>
        <w:noProof/>
        <w:sz w:val="24"/>
      </w:rPr>
      <w:fldChar w:fldCharType="end"/>
    </w:r>
  </w:p>
  <w:p w14:paraId="5FB3101D" w14:textId="77777777" w:rsidR="00282A98" w:rsidRDefault="00282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0272E" w14:textId="77777777" w:rsidR="00282A98" w:rsidRDefault="00282A98" w:rsidP="004F3A32">
      <w:pPr>
        <w:spacing w:after="0" w:line="240" w:lineRule="auto"/>
      </w:pPr>
      <w:r>
        <w:separator/>
      </w:r>
    </w:p>
  </w:footnote>
  <w:footnote w:type="continuationSeparator" w:id="0">
    <w:p w14:paraId="4311C376" w14:textId="77777777" w:rsidR="00282A98" w:rsidRDefault="00282A98" w:rsidP="004F3A32">
      <w:pPr>
        <w:spacing w:after="0" w:line="240" w:lineRule="auto"/>
      </w:pPr>
      <w:r>
        <w:continuationSeparator/>
      </w:r>
    </w:p>
  </w:footnote>
  <w:footnote w:type="continuationNotice" w:id="1">
    <w:p w14:paraId="406F7364" w14:textId="77777777" w:rsidR="00282A98" w:rsidRDefault="00282A98">
      <w:pPr>
        <w:spacing w:after="0" w:line="240" w:lineRule="auto"/>
      </w:pPr>
    </w:p>
  </w:footnote>
  <w:footnote w:id="2">
    <w:p w14:paraId="715E0DC9" w14:textId="3FCE87D2" w:rsidR="00282A98" w:rsidRDefault="00282A98" w:rsidP="00C35618">
      <w:pPr>
        <w:pStyle w:val="FootnoteText"/>
        <w:spacing w:after="0"/>
        <w:rPr>
          <w:rFonts w:ascii="Times New Roman" w:hAnsi="Times New Roman"/>
          <w:lang w:val="en-US"/>
        </w:rPr>
      </w:pPr>
      <w:r w:rsidRPr="00074220">
        <w:rPr>
          <w:rStyle w:val="FootnoteReference"/>
          <w:rFonts w:ascii="Times New Roman" w:hAnsi="Times New Roman"/>
        </w:rPr>
        <w:footnoteRef/>
      </w:r>
      <w:r w:rsidRPr="00074220">
        <w:rPr>
          <w:rFonts w:ascii="Times New Roman" w:hAnsi="Times New Roman"/>
          <w:lang w:val="en-US"/>
        </w:rPr>
        <w:t xml:space="preserve"> The definitions in the Description shall be understood as specified in Annex 1 (</w:t>
      </w:r>
      <w:r>
        <w:rPr>
          <w:rFonts w:ascii="Times New Roman" w:hAnsi="Times New Roman"/>
          <w:lang w:val="en-US"/>
        </w:rPr>
        <w:t>Main</w:t>
      </w:r>
      <w:r w:rsidRPr="00074220">
        <w:rPr>
          <w:rFonts w:ascii="Times New Roman" w:hAnsi="Times New Roman"/>
          <w:lang w:val="en-US"/>
        </w:rPr>
        <w:t xml:space="preserve"> Conditions) to the Description.</w:t>
      </w:r>
    </w:p>
    <w:p w14:paraId="713D6884" w14:textId="42E1F4BE" w:rsidR="00C35618" w:rsidRPr="00074220" w:rsidRDefault="00C35618" w:rsidP="00C35618">
      <w:pPr>
        <w:pStyle w:val="FootnoteText"/>
        <w:spacing w:after="0"/>
        <w:rPr>
          <w:rFonts w:ascii="Times New Roman" w:hAnsi="Times New Roman"/>
        </w:rPr>
      </w:pPr>
      <w:r>
        <w:rPr>
          <w:rFonts w:ascii="Times New Roman" w:hAnsi="Times New Roman"/>
        </w:rPr>
        <w:t xml:space="preserve">* </w:t>
      </w:r>
      <w:proofErr w:type="spellStart"/>
      <w:r w:rsidRPr="00C35618">
        <w:rPr>
          <w:rFonts w:ascii="Times New Roman" w:hAnsi="Times New Roman"/>
        </w:rPr>
        <w:t>indicative</w:t>
      </w:r>
      <w:proofErr w:type="spellEnd"/>
      <w:r w:rsidRPr="00C35618">
        <w:rPr>
          <w:rFonts w:ascii="Times New Roman" w:hAnsi="Times New Roman"/>
        </w:rPr>
        <w:t xml:space="preserve"> </w:t>
      </w:r>
      <w:proofErr w:type="spellStart"/>
      <w:r w:rsidRPr="00C35618">
        <w:rPr>
          <w:rFonts w:ascii="Times New Roman" w:hAnsi="Times New Roman"/>
        </w:rPr>
        <w:t>amount</w:t>
      </w:r>
      <w:proofErr w:type="spellEnd"/>
    </w:p>
  </w:footnote>
  <w:footnote w:id="3">
    <w:p w14:paraId="4043D9F2" w14:textId="1C319C38" w:rsidR="00282A98" w:rsidRPr="00461FA5" w:rsidRDefault="00282A98" w:rsidP="00CE285C">
      <w:pPr>
        <w:pStyle w:val="FootnoteText"/>
        <w:rPr>
          <w:rFonts w:ascii="Times New Roman" w:hAnsi="Times New Roman"/>
        </w:rPr>
      </w:pPr>
      <w:r w:rsidRPr="00461FA5">
        <w:rPr>
          <w:rStyle w:val="FootnoteReference"/>
          <w:rFonts w:ascii="Times New Roman" w:hAnsi="Times New Roman"/>
        </w:rPr>
        <w:footnoteRef/>
      </w:r>
      <w:r w:rsidRPr="00461FA5">
        <w:rPr>
          <w:rFonts w:ascii="Times New Roman" w:hAnsi="Times New Roman"/>
          <w:lang w:val="en-US"/>
        </w:rPr>
        <w:t xml:space="preserve"> The definitions in this section </w:t>
      </w:r>
      <w:r>
        <w:rPr>
          <w:rFonts w:ascii="Times New Roman" w:hAnsi="Times New Roman"/>
          <w:lang w:val="en-US"/>
        </w:rPr>
        <w:t xml:space="preserve">shall be </w:t>
      </w:r>
      <w:r w:rsidRPr="00461FA5">
        <w:rPr>
          <w:rFonts w:ascii="Times New Roman" w:hAnsi="Times New Roman"/>
          <w:lang w:val="en-US"/>
        </w:rPr>
        <w:t xml:space="preserve">understood as set out in the table of </w:t>
      </w:r>
      <w:r>
        <w:rPr>
          <w:rFonts w:ascii="Times New Roman" w:hAnsi="Times New Roman"/>
          <w:lang w:val="en-US"/>
        </w:rPr>
        <w:t>Main</w:t>
      </w:r>
      <w:r w:rsidRPr="00461FA5">
        <w:rPr>
          <w:rFonts w:ascii="Times New Roman" w:hAnsi="Times New Roman"/>
          <w:lang w:val="en-US"/>
        </w:rPr>
        <w:t xml:space="preserve"> </w:t>
      </w:r>
      <w:r>
        <w:rPr>
          <w:rFonts w:ascii="Times New Roman" w:hAnsi="Times New Roman"/>
          <w:lang w:val="en-US"/>
        </w:rPr>
        <w:t>definitions</w:t>
      </w:r>
      <w:r w:rsidRPr="00461FA5">
        <w:rPr>
          <w:rFonts w:ascii="Times New Roman" w:hAnsi="Times New Roman"/>
          <w:lang w:val="en-US"/>
        </w:rPr>
        <w:t xml:space="preserve"> and </w:t>
      </w:r>
      <w:r>
        <w:rPr>
          <w:rFonts w:ascii="Times New Roman" w:hAnsi="Times New Roman"/>
          <w:lang w:val="en-US"/>
        </w:rPr>
        <w:t>terms</w:t>
      </w:r>
      <w:r w:rsidRPr="00461FA5">
        <w:rPr>
          <w:rFonts w:ascii="Times New Roman" w:hAnsi="Times New Roman"/>
          <w:lang w:val="en-US"/>
        </w:rPr>
        <w:t xml:space="preserve"> below.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14448" w14:textId="77777777" w:rsidR="00282A98" w:rsidRPr="00C3281F" w:rsidRDefault="00282A98">
    <w:pPr>
      <w:pStyle w:val="Header"/>
      <w:jc w:val="center"/>
      <w:rPr>
        <w:rFonts w:ascii="Times New Roman" w:hAnsi="Times New Roman"/>
        <w:sz w:val="24"/>
        <w:szCs w:val="24"/>
      </w:rPr>
    </w:pPr>
  </w:p>
  <w:p w14:paraId="383559A5" w14:textId="77777777" w:rsidR="00282A98" w:rsidRDefault="00282A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F3391"/>
    <w:multiLevelType w:val="hybridMultilevel"/>
    <w:tmpl w:val="F6E0A7A0"/>
    <w:lvl w:ilvl="0" w:tplc="CC3A7B4A">
      <w:start w:val="1"/>
      <w:numFmt w:val="decimal"/>
      <w:lvlText w:val="%1."/>
      <w:lvlJc w:val="left"/>
      <w:pPr>
        <w:ind w:left="720" w:hanging="360"/>
      </w:pPr>
      <w:rPr>
        <w:rFonts w:hint="default"/>
      </w:rPr>
    </w:lvl>
    <w:lvl w:ilvl="1" w:tplc="4378AB5A" w:tentative="1">
      <w:start w:val="1"/>
      <w:numFmt w:val="lowerLetter"/>
      <w:lvlText w:val="%2."/>
      <w:lvlJc w:val="left"/>
      <w:pPr>
        <w:ind w:left="1440" w:hanging="360"/>
      </w:pPr>
    </w:lvl>
    <w:lvl w:ilvl="2" w:tplc="0980BA70" w:tentative="1">
      <w:start w:val="1"/>
      <w:numFmt w:val="lowerRoman"/>
      <w:lvlText w:val="%3."/>
      <w:lvlJc w:val="right"/>
      <w:pPr>
        <w:ind w:left="2160" w:hanging="180"/>
      </w:pPr>
    </w:lvl>
    <w:lvl w:ilvl="3" w:tplc="FB38555A" w:tentative="1">
      <w:start w:val="1"/>
      <w:numFmt w:val="decimal"/>
      <w:lvlText w:val="%4."/>
      <w:lvlJc w:val="left"/>
      <w:pPr>
        <w:ind w:left="2880" w:hanging="360"/>
      </w:pPr>
    </w:lvl>
    <w:lvl w:ilvl="4" w:tplc="B8B8168E" w:tentative="1">
      <w:start w:val="1"/>
      <w:numFmt w:val="lowerLetter"/>
      <w:lvlText w:val="%5."/>
      <w:lvlJc w:val="left"/>
      <w:pPr>
        <w:ind w:left="3600" w:hanging="360"/>
      </w:pPr>
    </w:lvl>
    <w:lvl w:ilvl="5" w:tplc="C1BE4160" w:tentative="1">
      <w:start w:val="1"/>
      <w:numFmt w:val="lowerRoman"/>
      <w:lvlText w:val="%6."/>
      <w:lvlJc w:val="right"/>
      <w:pPr>
        <w:ind w:left="4320" w:hanging="180"/>
      </w:pPr>
    </w:lvl>
    <w:lvl w:ilvl="6" w:tplc="6D9C7C62" w:tentative="1">
      <w:start w:val="1"/>
      <w:numFmt w:val="decimal"/>
      <w:lvlText w:val="%7."/>
      <w:lvlJc w:val="left"/>
      <w:pPr>
        <w:ind w:left="5040" w:hanging="360"/>
      </w:pPr>
    </w:lvl>
    <w:lvl w:ilvl="7" w:tplc="1DF48040" w:tentative="1">
      <w:start w:val="1"/>
      <w:numFmt w:val="lowerLetter"/>
      <w:lvlText w:val="%8."/>
      <w:lvlJc w:val="left"/>
      <w:pPr>
        <w:ind w:left="5760" w:hanging="360"/>
      </w:pPr>
    </w:lvl>
    <w:lvl w:ilvl="8" w:tplc="85AA752A" w:tentative="1">
      <w:start w:val="1"/>
      <w:numFmt w:val="lowerRoman"/>
      <w:lvlText w:val="%9."/>
      <w:lvlJc w:val="right"/>
      <w:pPr>
        <w:ind w:left="6480" w:hanging="180"/>
      </w:pPr>
    </w:lvl>
  </w:abstractNum>
  <w:abstractNum w:abstractNumId="1" w15:restartNumberingAfterBreak="0">
    <w:nsid w:val="094C4A10"/>
    <w:multiLevelType w:val="multilevel"/>
    <w:tmpl w:val="0427001F"/>
    <w:styleLink w:val="Style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4345A0"/>
    <w:multiLevelType w:val="hybridMultilevel"/>
    <w:tmpl w:val="7BF62140"/>
    <w:lvl w:ilvl="0" w:tplc="1D50FEC0">
      <w:start w:val="1"/>
      <w:numFmt w:val="decimal"/>
      <w:lvlText w:val="%1."/>
      <w:lvlJc w:val="left"/>
      <w:pPr>
        <w:ind w:left="720" w:hanging="360"/>
      </w:pPr>
      <w:rPr>
        <w:rFonts w:hint="default"/>
      </w:rPr>
    </w:lvl>
    <w:lvl w:ilvl="1" w:tplc="CB3658A6" w:tentative="1">
      <w:start w:val="1"/>
      <w:numFmt w:val="lowerLetter"/>
      <w:lvlText w:val="%2."/>
      <w:lvlJc w:val="left"/>
      <w:pPr>
        <w:ind w:left="1440" w:hanging="360"/>
      </w:pPr>
    </w:lvl>
    <w:lvl w:ilvl="2" w:tplc="44840DE4" w:tentative="1">
      <w:start w:val="1"/>
      <w:numFmt w:val="lowerRoman"/>
      <w:lvlText w:val="%3."/>
      <w:lvlJc w:val="right"/>
      <w:pPr>
        <w:ind w:left="2160" w:hanging="180"/>
      </w:pPr>
    </w:lvl>
    <w:lvl w:ilvl="3" w:tplc="4DF89BB8" w:tentative="1">
      <w:start w:val="1"/>
      <w:numFmt w:val="decimal"/>
      <w:lvlText w:val="%4."/>
      <w:lvlJc w:val="left"/>
      <w:pPr>
        <w:ind w:left="2880" w:hanging="360"/>
      </w:pPr>
    </w:lvl>
    <w:lvl w:ilvl="4" w:tplc="82509CB8" w:tentative="1">
      <w:start w:val="1"/>
      <w:numFmt w:val="lowerLetter"/>
      <w:lvlText w:val="%5."/>
      <w:lvlJc w:val="left"/>
      <w:pPr>
        <w:ind w:left="3600" w:hanging="360"/>
      </w:pPr>
    </w:lvl>
    <w:lvl w:ilvl="5" w:tplc="C108C0E6" w:tentative="1">
      <w:start w:val="1"/>
      <w:numFmt w:val="lowerRoman"/>
      <w:lvlText w:val="%6."/>
      <w:lvlJc w:val="right"/>
      <w:pPr>
        <w:ind w:left="4320" w:hanging="180"/>
      </w:pPr>
    </w:lvl>
    <w:lvl w:ilvl="6" w:tplc="DC7ACF76" w:tentative="1">
      <w:start w:val="1"/>
      <w:numFmt w:val="decimal"/>
      <w:lvlText w:val="%7."/>
      <w:lvlJc w:val="left"/>
      <w:pPr>
        <w:ind w:left="5040" w:hanging="360"/>
      </w:pPr>
    </w:lvl>
    <w:lvl w:ilvl="7" w:tplc="88D611C8" w:tentative="1">
      <w:start w:val="1"/>
      <w:numFmt w:val="lowerLetter"/>
      <w:lvlText w:val="%8."/>
      <w:lvlJc w:val="left"/>
      <w:pPr>
        <w:ind w:left="5760" w:hanging="360"/>
      </w:pPr>
    </w:lvl>
    <w:lvl w:ilvl="8" w:tplc="A50A1ABA" w:tentative="1">
      <w:start w:val="1"/>
      <w:numFmt w:val="lowerRoman"/>
      <w:lvlText w:val="%9."/>
      <w:lvlJc w:val="right"/>
      <w:pPr>
        <w:ind w:left="6480" w:hanging="180"/>
      </w:pPr>
    </w:lvl>
  </w:abstractNum>
  <w:abstractNum w:abstractNumId="3" w15:restartNumberingAfterBreak="0">
    <w:nsid w:val="25027F5D"/>
    <w:multiLevelType w:val="multilevel"/>
    <w:tmpl w:val="2D9E769A"/>
    <w:lvl w:ilvl="0">
      <w:start w:val="1"/>
      <w:numFmt w:val="decimal"/>
      <w:lvlText w:val="%1."/>
      <w:lvlJc w:val="left"/>
      <w:pPr>
        <w:ind w:left="1211" w:hanging="360"/>
      </w:pPr>
      <w:rPr>
        <w:rFonts w:hint="default"/>
      </w:rPr>
    </w:lvl>
    <w:lvl w:ilvl="1">
      <w:start w:val="3"/>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4" w15:restartNumberingAfterBreak="0">
    <w:nsid w:val="2A413B7E"/>
    <w:multiLevelType w:val="multilevel"/>
    <w:tmpl w:val="A4A61714"/>
    <w:styleLink w:val="Style3"/>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CE16374"/>
    <w:multiLevelType w:val="multilevel"/>
    <w:tmpl w:val="0427001F"/>
    <w:numStyleLink w:val="Style1"/>
  </w:abstractNum>
  <w:abstractNum w:abstractNumId="6" w15:restartNumberingAfterBreak="0">
    <w:nsid w:val="2E1E67A8"/>
    <w:multiLevelType w:val="multilevel"/>
    <w:tmpl w:val="2D9E769A"/>
    <w:lvl w:ilvl="0">
      <w:start w:val="1"/>
      <w:numFmt w:val="decimal"/>
      <w:lvlText w:val="%1."/>
      <w:lvlJc w:val="left"/>
      <w:pPr>
        <w:ind w:left="1211" w:hanging="360"/>
      </w:pPr>
      <w:rPr>
        <w:rFonts w:hint="default"/>
      </w:rPr>
    </w:lvl>
    <w:lvl w:ilvl="1">
      <w:start w:val="3"/>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7" w15:restartNumberingAfterBreak="0">
    <w:nsid w:val="378B2061"/>
    <w:multiLevelType w:val="hybridMultilevel"/>
    <w:tmpl w:val="8702BBE8"/>
    <w:lvl w:ilvl="0" w:tplc="7A2EDA36">
      <w:numFmt w:val="bullet"/>
      <w:lvlText w:val="-"/>
      <w:lvlJc w:val="left"/>
      <w:pPr>
        <w:ind w:left="720" w:hanging="360"/>
      </w:pPr>
      <w:rPr>
        <w:rFonts w:ascii="Times New Roman" w:eastAsia="Calibri" w:hAnsi="Times New Roman" w:cs="Times New Roman" w:hint="default"/>
      </w:rPr>
    </w:lvl>
    <w:lvl w:ilvl="1" w:tplc="D66A43F0" w:tentative="1">
      <w:start w:val="1"/>
      <w:numFmt w:val="bullet"/>
      <w:lvlText w:val="o"/>
      <w:lvlJc w:val="left"/>
      <w:pPr>
        <w:ind w:left="1440" w:hanging="360"/>
      </w:pPr>
      <w:rPr>
        <w:rFonts w:ascii="Courier New" w:hAnsi="Courier New" w:cs="Courier New" w:hint="default"/>
      </w:rPr>
    </w:lvl>
    <w:lvl w:ilvl="2" w:tplc="C068E694" w:tentative="1">
      <w:start w:val="1"/>
      <w:numFmt w:val="bullet"/>
      <w:lvlText w:val=""/>
      <w:lvlJc w:val="left"/>
      <w:pPr>
        <w:ind w:left="2160" w:hanging="360"/>
      </w:pPr>
      <w:rPr>
        <w:rFonts w:ascii="Wingdings" w:hAnsi="Wingdings" w:hint="default"/>
      </w:rPr>
    </w:lvl>
    <w:lvl w:ilvl="3" w:tplc="418CEA04" w:tentative="1">
      <w:start w:val="1"/>
      <w:numFmt w:val="bullet"/>
      <w:lvlText w:val=""/>
      <w:lvlJc w:val="left"/>
      <w:pPr>
        <w:ind w:left="2880" w:hanging="360"/>
      </w:pPr>
      <w:rPr>
        <w:rFonts w:ascii="Symbol" w:hAnsi="Symbol" w:hint="default"/>
      </w:rPr>
    </w:lvl>
    <w:lvl w:ilvl="4" w:tplc="35BA81A6" w:tentative="1">
      <w:start w:val="1"/>
      <w:numFmt w:val="bullet"/>
      <w:lvlText w:val="o"/>
      <w:lvlJc w:val="left"/>
      <w:pPr>
        <w:ind w:left="3600" w:hanging="360"/>
      </w:pPr>
      <w:rPr>
        <w:rFonts w:ascii="Courier New" w:hAnsi="Courier New" w:cs="Courier New" w:hint="default"/>
      </w:rPr>
    </w:lvl>
    <w:lvl w:ilvl="5" w:tplc="317A7306" w:tentative="1">
      <w:start w:val="1"/>
      <w:numFmt w:val="bullet"/>
      <w:lvlText w:val=""/>
      <w:lvlJc w:val="left"/>
      <w:pPr>
        <w:ind w:left="4320" w:hanging="360"/>
      </w:pPr>
      <w:rPr>
        <w:rFonts w:ascii="Wingdings" w:hAnsi="Wingdings" w:hint="default"/>
      </w:rPr>
    </w:lvl>
    <w:lvl w:ilvl="6" w:tplc="4818456E" w:tentative="1">
      <w:start w:val="1"/>
      <w:numFmt w:val="bullet"/>
      <w:lvlText w:val=""/>
      <w:lvlJc w:val="left"/>
      <w:pPr>
        <w:ind w:left="5040" w:hanging="360"/>
      </w:pPr>
      <w:rPr>
        <w:rFonts w:ascii="Symbol" w:hAnsi="Symbol" w:hint="default"/>
      </w:rPr>
    </w:lvl>
    <w:lvl w:ilvl="7" w:tplc="0DEEBD22" w:tentative="1">
      <w:start w:val="1"/>
      <w:numFmt w:val="bullet"/>
      <w:lvlText w:val="o"/>
      <w:lvlJc w:val="left"/>
      <w:pPr>
        <w:ind w:left="5760" w:hanging="360"/>
      </w:pPr>
      <w:rPr>
        <w:rFonts w:ascii="Courier New" w:hAnsi="Courier New" w:cs="Courier New" w:hint="default"/>
      </w:rPr>
    </w:lvl>
    <w:lvl w:ilvl="8" w:tplc="7BBECBD6" w:tentative="1">
      <w:start w:val="1"/>
      <w:numFmt w:val="bullet"/>
      <w:lvlText w:val=""/>
      <w:lvlJc w:val="left"/>
      <w:pPr>
        <w:ind w:left="6480" w:hanging="360"/>
      </w:pPr>
      <w:rPr>
        <w:rFonts w:ascii="Wingdings" w:hAnsi="Wingdings" w:hint="default"/>
      </w:rPr>
    </w:lvl>
  </w:abstractNum>
  <w:abstractNum w:abstractNumId="8" w15:restartNumberingAfterBreak="0">
    <w:nsid w:val="3A4C4108"/>
    <w:multiLevelType w:val="multilevel"/>
    <w:tmpl w:val="9EC214AC"/>
    <w:styleLink w:val="Style4"/>
    <w:lvl w:ilvl="0">
      <w:start w:val="6"/>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9" w15:restartNumberingAfterBreak="0">
    <w:nsid w:val="3E446C98"/>
    <w:multiLevelType w:val="hybridMultilevel"/>
    <w:tmpl w:val="1DD4B61A"/>
    <w:lvl w:ilvl="0" w:tplc="F7F64E78">
      <w:start w:val="2020"/>
      <w:numFmt w:val="bullet"/>
      <w:lvlText w:val="-"/>
      <w:lvlJc w:val="left"/>
      <w:pPr>
        <w:ind w:left="786" w:hanging="360"/>
      </w:pPr>
      <w:rPr>
        <w:rFonts w:ascii="Times New Roman" w:eastAsia="Calibri" w:hAnsi="Times New Roman" w:cs="Times New Roman" w:hint="default"/>
      </w:rPr>
    </w:lvl>
    <w:lvl w:ilvl="1" w:tplc="DD4E8DCC" w:tentative="1">
      <w:start w:val="1"/>
      <w:numFmt w:val="bullet"/>
      <w:lvlText w:val="o"/>
      <w:lvlJc w:val="left"/>
      <w:pPr>
        <w:ind w:left="1506" w:hanging="360"/>
      </w:pPr>
      <w:rPr>
        <w:rFonts w:ascii="Courier New" w:hAnsi="Courier New" w:cs="Courier New" w:hint="default"/>
      </w:rPr>
    </w:lvl>
    <w:lvl w:ilvl="2" w:tplc="3D50ADD0" w:tentative="1">
      <w:start w:val="1"/>
      <w:numFmt w:val="bullet"/>
      <w:lvlText w:val=""/>
      <w:lvlJc w:val="left"/>
      <w:pPr>
        <w:ind w:left="2226" w:hanging="360"/>
      </w:pPr>
      <w:rPr>
        <w:rFonts w:ascii="Wingdings" w:hAnsi="Wingdings" w:hint="default"/>
      </w:rPr>
    </w:lvl>
    <w:lvl w:ilvl="3" w:tplc="9644488C" w:tentative="1">
      <w:start w:val="1"/>
      <w:numFmt w:val="bullet"/>
      <w:lvlText w:val=""/>
      <w:lvlJc w:val="left"/>
      <w:pPr>
        <w:ind w:left="2946" w:hanging="360"/>
      </w:pPr>
      <w:rPr>
        <w:rFonts w:ascii="Symbol" w:hAnsi="Symbol" w:hint="default"/>
      </w:rPr>
    </w:lvl>
    <w:lvl w:ilvl="4" w:tplc="71D0C69E" w:tentative="1">
      <w:start w:val="1"/>
      <w:numFmt w:val="bullet"/>
      <w:lvlText w:val="o"/>
      <w:lvlJc w:val="left"/>
      <w:pPr>
        <w:ind w:left="3666" w:hanging="360"/>
      </w:pPr>
      <w:rPr>
        <w:rFonts w:ascii="Courier New" w:hAnsi="Courier New" w:cs="Courier New" w:hint="default"/>
      </w:rPr>
    </w:lvl>
    <w:lvl w:ilvl="5" w:tplc="30DE2AFA" w:tentative="1">
      <w:start w:val="1"/>
      <w:numFmt w:val="bullet"/>
      <w:lvlText w:val=""/>
      <w:lvlJc w:val="left"/>
      <w:pPr>
        <w:ind w:left="4386" w:hanging="360"/>
      </w:pPr>
      <w:rPr>
        <w:rFonts w:ascii="Wingdings" w:hAnsi="Wingdings" w:hint="default"/>
      </w:rPr>
    </w:lvl>
    <w:lvl w:ilvl="6" w:tplc="241A4D02" w:tentative="1">
      <w:start w:val="1"/>
      <w:numFmt w:val="bullet"/>
      <w:lvlText w:val=""/>
      <w:lvlJc w:val="left"/>
      <w:pPr>
        <w:ind w:left="5106" w:hanging="360"/>
      </w:pPr>
      <w:rPr>
        <w:rFonts w:ascii="Symbol" w:hAnsi="Symbol" w:hint="default"/>
      </w:rPr>
    </w:lvl>
    <w:lvl w:ilvl="7" w:tplc="A9DA9106" w:tentative="1">
      <w:start w:val="1"/>
      <w:numFmt w:val="bullet"/>
      <w:lvlText w:val="o"/>
      <w:lvlJc w:val="left"/>
      <w:pPr>
        <w:ind w:left="5826" w:hanging="360"/>
      </w:pPr>
      <w:rPr>
        <w:rFonts w:ascii="Courier New" w:hAnsi="Courier New" w:cs="Courier New" w:hint="default"/>
      </w:rPr>
    </w:lvl>
    <w:lvl w:ilvl="8" w:tplc="3056D7EC" w:tentative="1">
      <w:start w:val="1"/>
      <w:numFmt w:val="bullet"/>
      <w:lvlText w:val=""/>
      <w:lvlJc w:val="left"/>
      <w:pPr>
        <w:ind w:left="6546" w:hanging="360"/>
      </w:pPr>
      <w:rPr>
        <w:rFonts w:ascii="Wingdings" w:hAnsi="Wingdings" w:hint="default"/>
      </w:rPr>
    </w:lvl>
  </w:abstractNum>
  <w:abstractNum w:abstractNumId="10" w15:restartNumberingAfterBreak="0">
    <w:nsid w:val="402B711F"/>
    <w:multiLevelType w:val="multilevel"/>
    <w:tmpl w:val="03C2A1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2D5394C"/>
    <w:multiLevelType w:val="multilevel"/>
    <w:tmpl w:val="0427001F"/>
    <w:numStyleLink w:val="Style6"/>
  </w:abstractNum>
  <w:abstractNum w:abstractNumId="12" w15:restartNumberingAfterBreak="0">
    <w:nsid w:val="44900548"/>
    <w:multiLevelType w:val="multilevel"/>
    <w:tmpl w:val="0427001F"/>
    <w:styleLink w:val="Style1"/>
    <w:lvl w:ilvl="0">
      <w:start w:val="4"/>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04950EF"/>
    <w:multiLevelType w:val="multilevel"/>
    <w:tmpl w:val="4E800E2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2B23E2B"/>
    <w:multiLevelType w:val="multilevel"/>
    <w:tmpl w:val="A4A61714"/>
    <w:numStyleLink w:val="Style3"/>
  </w:abstractNum>
  <w:abstractNum w:abstractNumId="15" w15:restartNumberingAfterBreak="0">
    <w:nsid w:val="5CC81F03"/>
    <w:multiLevelType w:val="multilevel"/>
    <w:tmpl w:val="0427001F"/>
    <w:styleLink w:val="Style5"/>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5CE553E"/>
    <w:multiLevelType w:val="multilevel"/>
    <w:tmpl w:val="0427001F"/>
    <w:numStyleLink w:val="Style5"/>
  </w:abstractNum>
  <w:abstractNum w:abstractNumId="17" w15:restartNumberingAfterBreak="0">
    <w:nsid w:val="669C28FE"/>
    <w:multiLevelType w:val="hybridMultilevel"/>
    <w:tmpl w:val="757C7796"/>
    <w:lvl w:ilvl="0" w:tplc="8A149CA6">
      <w:start w:val="1"/>
      <w:numFmt w:val="decimal"/>
      <w:lvlText w:val="%1."/>
      <w:lvlJc w:val="left"/>
      <w:pPr>
        <w:ind w:left="720" w:hanging="360"/>
      </w:pPr>
    </w:lvl>
    <w:lvl w:ilvl="1" w:tplc="09CADDAC" w:tentative="1">
      <w:start w:val="1"/>
      <w:numFmt w:val="lowerLetter"/>
      <w:lvlText w:val="%2."/>
      <w:lvlJc w:val="left"/>
      <w:pPr>
        <w:ind w:left="1440" w:hanging="360"/>
      </w:pPr>
    </w:lvl>
    <w:lvl w:ilvl="2" w:tplc="C51446F6" w:tentative="1">
      <w:start w:val="1"/>
      <w:numFmt w:val="lowerRoman"/>
      <w:lvlText w:val="%3."/>
      <w:lvlJc w:val="right"/>
      <w:pPr>
        <w:ind w:left="2160" w:hanging="180"/>
      </w:pPr>
    </w:lvl>
    <w:lvl w:ilvl="3" w:tplc="D4204882" w:tentative="1">
      <w:start w:val="1"/>
      <w:numFmt w:val="decimal"/>
      <w:lvlText w:val="%4."/>
      <w:lvlJc w:val="left"/>
      <w:pPr>
        <w:ind w:left="2880" w:hanging="360"/>
      </w:pPr>
    </w:lvl>
    <w:lvl w:ilvl="4" w:tplc="0F6CF242" w:tentative="1">
      <w:start w:val="1"/>
      <w:numFmt w:val="lowerLetter"/>
      <w:lvlText w:val="%5."/>
      <w:lvlJc w:val="left"/>
      <w:pPr>
        <w:ind w:left="3600" w:hanging="360"/>
      </w:pPr>
    </w:lvl>
    <w:lvl w:ilvl="5" w:tplc="7FD242AC" w:tentative="1">
      <w:start w:val="1"/>
      <w:numFmt w:val="lowerRoman"/>
      <w:lvlText w:val="%6."/>
      <w:lvlJc w:val="right"/>
      <w:pPr>
        <w:ind w:left="4320" w:hanging="180"/>
      </w:pPr>
    </w:lvl>
    <w:lvl w:ilvl="6" w:tplc="4ED4867C" w:tentative="1">
      <w:start w:val="1"/>
      <w:numFmt w:val="decimal"/>
      <w:lvlText w:val="%7."/>
      <w:lvlJc w:val="left"/>
      <w:pPr>
        <w:ind w:left="5040" w:hanging="360"/>
      </w:pPr>
    </w:lvl>
    <w:lvl w:ilvl="7" w:tplc="BFBC388A" w:tentative="1">
      <w:start w:val="1"/>
      <w:numFmt w:val="lowerLetter"/>
      <w:lvlText w:val="%8."/>
      <w:lvlJc w:val="left"/>
      <w:pPr>
        <w:ind w:left="5760" w:hanging="360"/>
      </w:pPr>
    </w:lvl>
    <w:lvl w:ilvl="8" w:tplc="8B407BA2" w:tentative="1">
      <w:start w:val="1"/>
      <w:numFmt w:val="lowerRoman"/>
      <w:lvlText w:val="%9."/>
      <w:lvlJc w:val="right"/>
      <w:pPr>
        <w:ind w:left="6480" w:hanging="180"/>
      </w:pPr>
    </w:lvl>
  </w:abstractNum>
  <w:abstractNum w:abstractNumId="18" w15:restartNumberingAfterBreak="0">
    <w:nsid w:val="68A41C57"/>
    <w:multiLevelType w:val="hybridMultilevel"/>
    <w:tmpl w:val="B71E838C"/>
    <w:lvl w:ilvl="0" w:tplc="88C2F46E">
      <w:start w:val="1"/>
      <w:numFmt w:val="decimal"/>
      <w:lvlText w:val="%1."/>
      <w:lvlJc w:val="left"/>
      <w:pPr>
        <w:ind w:left="720" w:hanging="360"/>
      </w:pPr>
      <w:rPr>
        <w:rFonts w:hint="default"/>
      </w:rPr>
    </w:lvl>
    <w:lvl w:ilvl="1" w:tplc="BB88C4B6" w:tentative="1">
      <w:start w:val="1"/>
      <w:numFmt w:val="lowerLetter"/>
      <w:lvlText w:val="%2."/>
      <w:lvlJc w:val="left"/>
      <w:pPr>
        <w:ind w:left="1440" w:hanging="360"/>
      </w:pPr>
    </w:lvl>
    <w:lvl w:ilvl="2" w:tplc="18A838F4" w:tentative="1">
      <w:start w:val="1"/>
      <w:numFmt w:val="lowerRoman"/>
      <w:lvlText w:val="%3."/>
      <w:lvlJc w:val="right"/>
      <w:pPr>
        <w:ind w:left="2160" w:hanging="180"/>
      </w:pPr>
    </w:lvl>
    <w:lvl w:ilvl="3" w:tplc="6882CC1E" w:tentative="1">
      <w:start w:val="1"/>
      <w:numFmt w:val="decimal"/>
      <w:lvlText w:val="%4."/>
      <w:lvlJc w:val="left"/>
      <w:pPr>
        <w:ind w:left="2880" w:hanging="360"/>
      </w:pPr>
    </w:lvl>
    <w:lvl w:ilvl="4" w:tplc="595EFB36" w:tentative="1">
      <w:start w:val="1"/>
      <w:numFmt w:val="lowerLetter"/>
      <w:lvlText w:val="%5."/>
      <w:lvlJc w:val="left"/>
      <w:pPr>
        <w:ind w:left="3600" w:hanging="360"/>
      </w:pPr>
    </w:lvl>
    <w:lvl w:ilvl="5" w:tplc="138888CC" w:tentative="1">
      <w:start w:val="1"/>
      <w:numFmt w:val="lowerRoman"/>
      <w:lvlText w:val="%6."/>
      <w:lvlJc w:val="right"/>
      <w:pPr>
        <w:ind w:left="4320" w:hanging="180"/>
      </w:pPr>
    </w:lvl>
    <w:lvl w:ilvl="6" w:tplc="87E01F92" w:tentative="1">
      <w:start w:val="1"/>
      <w:numFmt w:val="decimal"/>
      <w:lvlText w:val="%7."/>
      <w:lvlJc w:val="left"/>
      <w:pPr>
        <w:ind w:left="5040" w:hanging="360"/>
      </w:pPr>
    </w:lvl>
    <w:lvl w:ilvl="7" w:tplc="88F216CE" w:tentative="1">
      <w:start w:val="1"/>
      <w:numFmt w:val="lowerLetter"/>
      <w:lvlText w:val="%8."/>
      <w:lvlJc w:val="left"/>
      <w:pPr>
        <w:ind w:left="5760" w:hanging="360"/>
      </w:pPr>
    </w:lvl>
    <w:lvl w:ilvl="8" w:tplc="5518DBDE" w:tentative="1">
      <w:start w:val="1"/>
      <w:numFmt w:val="lowerRoman"/>
      <w:lvlText w:val="%9."/>
      <w:lvlJc w:val="right"/>
      <w:pPr>
        <w:ind w:left="6480" w:hanging="180"/>
      </w:pPr>
    </w:lvl>
  </w:abstractNum>
  <w:abstractNum w:abstractNumId="19" w15:restartNumberingAfterBreak="0">
    <w:nsid w:val="6FAC6DEF"/>
    <w:multiLevelType w:val="multilevel"/>
    <w:tmpl w:val="A4A6171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2F14C82"/>
    <w:multiLevelType w:val="multilevel"/>
    <w:tmpl w:val="0427001F"/>
    <w:lvl w:ilvl="0">
      <w:start w:val="1"/>
      <w:numFmt w:val="decimal"/>
      <w:lvlText w:val="%1."/>
      <w:lvlJc w:val="left"/>
      <w:pPr>
        <w:ind w:left="360" w:hanging="360"/>
      </w:pPr>
    </w:lvl>
    <w:lvl w:ilvl="1">
      <w:start w:val="1"/>
      <w:numFmt w:val="decimal"/>
      <w:lvlText w:val="%1.%2."/>
      <w:lvlJc w:val="left"/>
      <w:pPr>
        <w:ind w:left="326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3560603"/>
    <w:multiLevelType w:val="multilevel"/>
    <w:tmpl w:val="9AFE9B7A"/>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769D435F"/>
    <w:multiLevelType w:val="multilevel"/>
    <w:tmpl w:val="16066BEC"/>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b w:val="0"/>
        <w:bCs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15:restartNumberingAfterBreak="0">
    <w:nsid w:val="7E4C70D3"/>
    <w:multiLevelType w:val="multilevel"/>
    <w:tmpl w:val="0427001F"/>
    <w:numStyleLink w:val="Style2"/>
  </w:abstractNum>
  <w:abstractNum w:abstractNumId="24" w15:restartNumberingAfterBreak="0">
    <w:nsid w:val="7F941427"/>
    <w:multiLevelType w:val="multilevel"/>
    <w:tmpl w:val="0427001F"/>
    <w:styleLink w:val="Style6"/>
    <w:lvl w:ilvl="0">
      <w:start w:val="7"/>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2"/>
  </w:num>
  <w:num w:numId="3">
    <w:abstractNumId w:val="14"/>
    <w:lvlOverride w:ilvl="1">
      <w:lvl w:ilvl="1">
        <w:start w:val="1"/>
        <w:numFmt w:val="decimal"/>
        <w:lvlText w:val="%1.%2."/>
        <w:lvlJc w:val="left"/>
        <w:pPr>
          <w:ind w:left="792" w:hanging="432"/>
        </w:pPr>
        <w:rPr>
          <w:rFonts w:hint="default"/>
          <w:i w:val="0"/>
        </w:rPr>
      </w:lvl>
    </w:lvlOverride>
    <w:lvlOverride w:ilvl="2">
      <w:lvl w:ilvl="2">
        <w:start w:val="1"/>
        <w:numFmt w:val="decimal"/>
        <w:lvlText w:val="%1.%2.%3."/>
        <w:lvlJc w:val="left"/>
        <w:pPr>
          <w:ind w:left="2064" w:hanging="504"/>
        </w:pPr>
        <w:rPr>
          <w:rFonts w:hint="default"/>
        </w:rPr>
      </w:lvl>
    </w:lvlOverride>
  </w:num>
  <w:num w:numId="4">
    <w:abstractNumId w:val="5"/>
    <w:lvlOverride w:ilvl="2">
      <w:lvl w:ilvl="2">
        <w:start w:val="1"/>
        <w:numFmt w:val="decimal"/>
        <w:lvlText w:val="%1.%2.%3."/>
        <w:lvlJc w:val="left"/>
        <w:pPr>
          <w:ind w:left="1224" w:hanging="504"/>
        </w:pPr>
      </w:lvl>
    </w:lvlOverride>
  </w:num>
  <w:num w:numId="5">
    <w:abstractNumId w:val="11"/>
  </w:num>
  <w:num w:numId="6">
    <w:abstractNumId w:val="12"/>
  </w:num>
  <w:num w:numId="7">
    <w:abstractNumId w:val="1"/>
  </w:num>
  <w:num w:numId="8">
    <w:abstractNumId w:val="23"/>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num>
  <w:num w:numId="9">
    <w:abstractNumId w:val="4"/>
  </w:num>
  <w:num w:numId="10">
    <w:abstractNumId w:val="8"/>
  </w:num>
  <w:num w:numId="11">
    <w:abstractNumId w:val="16"/>
  </w:num>
  <w:num w:numId="12">
    <w:abstractNumId w:val="15"/>
  </w:num>
  <w:num w:numId="13">
    <w:abstractNumId w:val="24"/>
  </w:num>
  <w:num w:numId="14">
    <w:abstractNumId w:val="2"/>
  </w:num>
  <w:num w:numId="15">
    <w:abstractNumId w:val="17"/>
  </w:num>
  <w:num w:numId="16">
    <w:abstractNumId w:val="21"/>
  </w:num>
  <w:num w:numId="17">
    <w:abstractNumId w:val="7"/>
  </w:num>
  <w:num w:numId="18">
    <w:abstractNumId w:val="6"/>
  </w:num>
  <w:num w:numId="19">
    <w:abstractNumId w:val="9"/>
  </w:num>
  <w:num w:numId="20">
    <w:abstractNumId w:val="18"/>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0"/>
  </w:num>
  <w:num w:numId="28">
    <w:abstractNumId w:val="19"/>
  </w:num>
  <w:num w:numId="29">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1296"/>
  <w:hyphenationZone w:val="396"/>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59C"/>
    <w:rsid w:val="000001E1"/>
    <w:rsid w:val="00000650"/>
    <w:rsid w:val="0000072D"/>
    <w:rsid w:val="000007F2"/>
    <w:rsid w:val="00000B07"/>
    <w:rsid w:val="00001622"/>
    <w:rsid w:val="000017EF"/>
    <w:rsid w:val="0000327E"/>
    <w:rsid w:val="0000427F"/>
    <w:rsid w:val="00004474"/>
    <w:rsid w:val="00004B2A"/>
    <w:rsid w:val="000053BE"/>
    <w:rsid w:val="000064FD"/>
    <w:rsid w:val="000114A3"/>
    <w:rsid w:val="000117ED"/>
    <w:rsid w:val="000128EE"/>
    <w:rsid w:val="00012D30"/>
    <w:rsid w:val="00014361"/>
    <w:rsid w:val="000148FF"/>
    <w:rsid w:val="00015848"/>
    <w:rsid w:val="0001591E"/>
    <w:rsid w:val="00015A50"/>
    <w:rsid w:val="00016EC2"/>
    <w:rsid w:val="000200A3"/>
    <w:rsid w:val="00020919"/>
    <w:rsid w:val="00020C3C"/>
    <w:rsid w:val="00020FEC"/>
    <w:rsid w:val="0002117A"/>
    <w:rsid w:val="0002187D"/>
    <w:rsid w:val="00021C93"/>
    <w:rsid w:val="00021FA8"/>
    <w:rsid w:val="0002257C"/>
    <w:rsid w:val="0002271D"/>
    <w:rsid w:val="000229F9"/>
    <w:rsid w:val="00022B3B"/>
    <w:rsid w:val="0002422D"/>
    <w:rsid w:val="0002460A"/>
    <w:rsid w:val="000252DB"/>
    <w:rsid w:val="0002704A"/>
    <w:rsid w:val="000273BD"/>
    <w:rsid w:val="000274AD"/>
    <w:rsid w:val="00027F86"/>
    <w:rsid w:val="00030531"/>
    <w:rsid w:val="000310AB"/>
    <w:rsid w:val="0003250F"/>
    <w:rsid w:val="00032818"/>
    <w:rsid w:val="00032B5E"/>
    <w:rsid w:val="00033DD2"/>
    <w:rsid w:val="00034CC1"/>
    <w:rsid w:val="00035106"/>
    <w:rsid w:val="000359DA"/>
    <w:rsid w:val="00035B2A"/>
    <w:rsid w:val="00036A7A"/>
    <w:rsid w:val="0003776B"/>
    <w:rsid w:val="00037F62"/>
    <w:rsid w:val="00040A1B"/>
    <w:rsid w:val="00040A9A"/>
    <w:rsid w:val="00041F85"/>
    <w:rsid w:val="00042205"/>
    <w:rsid w:val="0004262B"/>
    <w:rsid w:val="00042CE8"/>
    <w:rsid w:val="000433CD"/>
    <w:rsid w:val="00043485"/>
    <w:rsid w:val="00043B93"/>
    <w:rsid w:val="00043FBF"/>
    <w:rsid w:val="00044073"/>
    <w:rsid w:val="0004467D"/>
    <w:rsid w:val="000447DA"/>
    <w:rsid w:val="000447FD"/>
    <w:rsid w:val="00044A1A"/>
    <w:rsid w:val="00044F3D"/>
    <w:rsid w:val="0004511D"/>
    <w:rsid w:val="0004533D"/>
    <w:rsid w:val="000457A3"/>
    <w:rsid w:val="000460BF"/>
    <w:rsid w:val="00046131"/>
    <w:rsid w:val="00046600"/>
    <w:rsid w:val="000471CE"/>
    <w:rsid w:val="000471E2"/>
    <w:rsid w:val="000478CB"/>
    <w:rsid w:val="00047D37"/>
    <w:rsid w:val="00050030"/>
    <w:rsid w:val="00050B2A"/>
    <w:rsid w:val="00050C3B"/>
    <w:rsid w:val="00050D3F"/>
    <w:rsid w:val="00050D9C"/>
    <w:rsid w:val="00050EE2"/>
    <w:rsid w:val="000512DC"/>
    <w:rsid w:val="0005222D"/>
    <w:rsid w:val="00052824"/>
    <w:rsid w:val="000531C1"/>
    <w:rsid w:val="00053F2D"/>
    <w:rsid w:val="00054E86"/>
    <w:rsid w:val="00056651"/>
    <w:rsid w:val="00056F0A"/>
    <w:rsid w:val="000578D7"/>
    <w:rsid w:val="000578FE"/>
    <w:rsid w:val="00057A99"/>
    <w:rsid w:val="000606F7"/>
    <w:rsid w:val="00061105"/>
    <w:rsid w:val="000617D0"/>
    <w:rsid w:val="000618EB"/>
    <w:rsid w:val="00062650"/>
    <w:rsid w:val="00062944"/>
    <w:rsid w:val="00063036"/>
    <w:rsid w:val="00063843"/>
    <w:rsid w:val="00063E59"/>
    <w:rsid w:val="000651EC"/>
    <w:rsid w:val="0006554F"/>
    <w:rsid w:val="000658B8"/>
    <w:rsid w:val="00065D65"/>
    <w:rsid w:val="0006617E"/>
    <w:rsid w:val="00066B19"/>
    <w:rsid w:val="00066EC2"/>
    <w:rsid w:val="0006717D"/>
    <w:rsid w:val="00067663"/>
    <w:rsid w:val="00067696"/>
    <w:rsid w:val="0007035D"/>
    <w:rsid w:val="00070380"/>
    <w:rsid w:val="0007071F"/>
    <w:rsid w:val="0007088C"/>
    <w:rsid w:val="00070EFC"/>
    <w:rsid w:val="0007116E"/>
    <w:rsid w:val="0007172E"/>
    <w:rsid w:val="000718FD"/>
    <w:rsid w:val="00071C31"/>
    <w:rsid w:val="00072033"/>
    <w:rsid w:val="000721CB"/>
    <w:rsid w:val="000722F5"/>
    <w:rsid w:val="00072B5C"/>
    <w:rsid w:val="00072D00"/>
    <w:rsid w:val="000733E3"/>
    <w:rsid w:val="000737A4"/>
    <w:rsid w:val="00074220"/>
    <w:rsid w:val="0007444E"/>
    <w:rsid w:val="00074DF7"/>
    <w:rsid w:val="0007506E"/>
    <w:rsid w:val="000755B2"/>
    <w:rsid w:val="0007566D"/>
    <w:rsid w:val="0007635A"/>
    <w:rsid w:val="0007662D"/>
    <w:rsid w:val="00076FD9"/>
    <w:rsid w:val="000771E1"/>
    <w:rsid w:val="00080232"/>
    <w:rsid w:val="000803C9"/>
    <w:rsid w:val="00080A4D"/>
    <w:rsid w:val="00081063"/>
    <w:rsid w:val="000815F0"/>
    <w:rsid w:val="0008179A"/>
    <w:rsid w:val="00081ECC"/>
    <w:rsid w:val="000821AD"/>
    <w:rsid w:val="0008270F"/>
    <w:rsid w:val="00082C2E"/>
    <w:rsid w:val="00083FEF"/>
    <w:rsid w:val="00084A36"/>
    <w:rsid w:val="00084EBF"/>
    <w:rsid w:val="000856A8"/>
    <w:rsid w:val="00087D95"/>
    <w:rsid w:val="000907D6"/>
    <w:rsid w:val="0009082B"/>
    <w:rsid w:val="000922BA"/>
    <w:rsid w:val="00092B0D"/>
    <w:rsid w:val="00092C3F"/>
    <w:rsid w:val="00092DD4"/>
    <w:rsid w:val="00092F27"/>
    <w:rsid w:val="00093497"/>
    <w:rsid w:val="0009403D"/>
    <w:rsid w:val="00094741"/>
    <w:rsid w:val="0009478C"/>
    <w:rsid w:val="00094AC1"/>
    <w:rsid w:val="00094C0A"/>
    <w:rsid w:val="00095893"/>
    <w:rsid w:val="000959CA"/>
    <w:rsid w:val="00097502"/>
    <w:rsid w:val="000979A5"/>
    <w:rsid w:val="00097A3F"/>
    <w:rsid w:val="00097A9E"/>
    <w:rsid w:val="00097D5C"/>
    <w:rsid w:val="00097FB9"/>
    <w:rsid w:val="000A05F8"/>
    <w:rsid w:val="000A0C3B"/>
    <w:rsid w:val="000A1974"/>
    <w:rsid w:val="000A2997"/>
    <w:rsid w:val="000A2F8A"/>
    <w:rsid w:val="000A3123"/>
    <w:rsid w:val="000A3208"/>
    <w:rsid w:val="000A3701"/>
    <w:rsid w:val="000A3BBE"/>
    <w:rsid w:val="000A42BC"/>
    <w:rsid w:val="000A635C"/>
    <w:rsid w:val="000A7F8E"/>
    <w:rsid w:val="000B03AE"/>
    <w:rsid w:val="000B1047"/>
    <w:rsid w:val="000B1224"/>
    <w:rsid w:val="000B1DC8"/>
    <w:rsid w:val="000B268D"/>
    <w:rsid w:val="000B2ACC"/>
    <w:rsid w:val="000B2F25"/>
    <w:rsid w:val="000B3B77"/>
    <w:rsid w:val="000B3BB3"/>
    <w:rsid w:val="000B3CED"/>
    <w:rsid w:val="000B3E9F"/>
    <w:rsid w:val="000B4584"/>
    <w:rsid w:val="000B466E"/>
    <w:rsid w:val="000B4C06"/>
    <w:rsid w:val="000B57DB"/>
    <w:rsid w:val="000B5863"/>
    <w:rsid w:val="000B5C4C"/>
    <w:rsid w:val="000C0F46"/>
    <w:rsid w:val="000C10BC"/>
    <w:rsid w:val="000C16AD"/>
    <w:rsid w:val="000C1EFD"/>
    <w:rsid w:val="000C2C1E"/>
    <w:rsid w:val="000C2D7E"/>
    <w:rsid w:val="000C3F5E"/>
    <w:rsid w:val="000C4499"/>
    <w:rsid w:val="000C4A10"/>
    <w:rsid w:val="000C4A88"/>
    <w:rsid w:val="000C5133"/>
    <w:rsid w:val="000C57C0"/>
    <w:rsid w:val="000C5A79"/>
    <w:rsid w:val="000C5FFF"/>
    <w:rsid w:val="000C68F7"/>
    <w:rsid w:val="000C696D"/>
    <w:rsid w:val="000C73B3"/>
    <w:rsid w:val="000C7B36"/>
    <w:rsid w:val="000C7D9B"/>
    <w:rsid w:val="000D0F43"/>
    <w:rsid w:val="000D16D4"/>
    <w:rsid w:val="000D1754"/>
    <w:rsid w:val="000D1AB8"/>
    <w:rsid w:val="000D24A8"/>
    <w:rsid w:val="000D2819"/>
    <w:rsid w:val="000D2A27"/>
    <w:rsid w:val="000D47C4"/>
    <w:rsid w:val="000D4987"/>
    <w:rsid w:val="000D53DD"/>
    <w:rsid w:val="000D5481"/>
    <w:rsid w:val="000D5887"/>
    <w:rsid w:val="000D5B5B"/>
    <w:rsid w:val="000D5E65"/>
    <w:rsid w:val="000D601C"/>
    <w:rsid w:val="000D64B6"/>
    <w:rsid w:val="000D65CF"/>
    <w:rsid w:val="000D7462"/>
    <w:rsid w:val="000D79A6"/>
    <w:rsid w:val="000E0922"/>
    <w:rsid w:val="000E12D8"/>
    <w:rsid w:val="000E1534"/>
    <w:rsid w:val="000E1A73"/>
    <w:rsid w:val="000E26FF"/>
    <w:rsid w:val="000E2946"/>
    <w:rsid w:val="000E2995"/>
    <w:rsid w:val="000E3108"/>
    <w:rsid w:val="000E37A9"/>
    <w:rsid w:val="000E3D1B"/>
    <w:rsid w:val="000E47D3"/>
    <w:rsid w:val="000E4A0E"/>
    <w:rsid w:val="000E55AA"/>
    <w:rsid w:val="000E56E8"/>
    <w:rsid w:val="000E5CF2"/>
    <w:rsid w:val="000E5FBA"/>
    <w:rsid w:val="000E602B"/>
    <w:rsid w:val="000E720A"/>
    <w:rsid w:val="000F0046"/>
    <w:rsid w:val="000F0EFE"/>
    <w:rsid w:val="000F142E"/>
    <w:rsid w:val="000F14F0"/>
    <w:rsid w:val="000F196A"/>
    <w:rsid w:val="000F1AFA"/>
    <w:rsid w:val="000F2B57"/>
    <w:rsid w:val="000F2F49"/>
    <w:rsid w:val="000F33E4"/>
    <w:rsid w:val="000F481B"/>
    <w:rsid w:val="000F4BA5"/>
    <w:rsid w:val="000F6817"/>
    <w:rsid w:val="000F6FA2"/>
    <w:rsid w:val="00100455"/>
    <w:rsid w:val="00101191"/>
    <w:rsid w:val="001019E0"/>
    <w:rsid w:val="00102196"/>
    <w:rsid w:val="0010277C"/>
    <w:rsid w:val="001029FA"/>
    <w:rsid w:val="0010345E"/>
    <w:rsid w:val="001039E8"/>
    <w:rsid w:val="0010484F"/>
    <w:rsid w:val="00104B72"/>
    <w:rsid w:val="00105055"/>
    <w:rsid w:val="00105514"/>
    <w:rsid w:val="001055D1"/>
    <w:rsid w:val="00105C5B"/>
    <w:rsid w:val="00105EAB"/>
    <w:rsid w:val="00106D81"/>
    <w:rsid w:val="00106E38"/>
    <w:rsid w:val="0011006A"/>
    <w:rsid w:val="00110559"/>
    <w:rsid w:val="00110A90"/>
    <w:rsid w:val="00111210"/>
    <w:rsid w:val="00112220"/>
    <w:rsid w:val="00112895"/>
    <w:rsid w:val="00112997"/>
    <w:rsid w:val="0011392B"/>
    <w:rsid w:val="00113AAD"/>
    <w:rsid w:val="00114434"/>
    <w:rsid w:val="001152BF"/>
    <w:rsid w:val="001169E1"/>
    <w:rsid w:val="00117598"/>
    <w:rsid w:val="00117846"/>
    <w:rsid w:val="001178A7"/>
    <w:rsid w:val="001205AF"/>
    <w:rsid w:val="0012161A"/>
    <w:rsid w:val="00122DD0"/>
    <w:rsid w:val="001236FA"/>
    <w:rsid w:val="00123952"/>
    <w:rsid w:val="00123FE7"/>
    <w:rsid w:val="0012498F"/>
    <w:rsid w:val="00124FA2"/>
    <w:rsid w:val="00125A81"/>
    <w:rsid w:val="00125C97"/>
    <w:rsid w:val="00125DFD"/>
    <w:rsid w:val="00125E78"/>
    <w:rsid w:val="00125E97"/>
    <w:rsid w:val="00127482"/>
    <w:rsid w:val="001276AF"/>
    <w:rsid w:val="00131245"/>
    <w:rsid w:val="00131429"/>
    <w:rsid w:val="001315B4"/>
    <w:rsid w:val="00131828"/>
    <w:rsid w:val="00131E0B"/>
    <w:rsid w:val="00133792"/>
    <w:rsid w:val="0013426E"/>
    <w:rsid w:val="00134FC1"/>
    <w:rsid w:val="00134FDD"/>
    <w:rsid w:val="001355DE"/>
    <w:rsid w:val="001359D9"/>
    <w:rsid w:val="001361C1"/>
    <w:rsid w:val="001361CF"/>
    <w:rsid w:val="00136F53"/>
    <w:rsid w:val="00137BCE"/>
    <w:rsid w:val="00140536"/>
    <w:rsid w:val="0014063E"/>
    <w:rsid w:val="0014116F"/>
    <w:rsid w:val="00141962"/>
    <w:rsid w:val="001429C4"/>
    <w:rsid w:val="00144BCC"/>
    <w:rsid w:val="00145126"/>
    <w:rsid w:val="001451E3"/>
    <w:rsid w:val="00145DBB"/>
    <w:rsid w:val="00146C7B"/>
    <w:rsid w:val="00146C7D"/>
    <w:rsid w:val="0014718A"/>
    <w:rsid w:val="001474B5"/>
    <w:rsid w:val="001475CE"/>
    <w:rsid w:val="00147B87"/>
    <w:rsid w:val="00150206"/>
    <w:rsid w:val="00150428"/>
    <w:rsid w:val="00150C58"/>
    <w:rsid w:val="00150CC2"/>
    <w:rsid w:val="001510C4"/>
    <w:rsid w:val="00151307"/>
    <w:rsid w:val="00151744"/>
    <w:rsid w:val="00152333"/>
    <w:rsid w:val="00152AC5"/>
    <w:rsid w:val="001530F3"/>
    <w:rsid w:val="00153AFE"/>
    <w:rsid w:val="001540FA"/>
    <w:rsid w:val="00154756"/>
    <w:rsid w:val="0015483C"/>
    <w:rsid w:val="001551D0"/>
    <w:rsid w:val="00155ED8"/>
    <w:rsid w:val="001568CD"/>
    <w:rsid w:val="001577F6"/>
    <w:rsid w:val="00157BC3"/>
    <w:rsid w:val="00160CA8"/>
    <w:rsid w:val="001616AB"/>
    <w:rsid w:val="00161CBE"/>
    <w:rsid w:val="001621E0"/>
    <w:rsid w:val="001623B4"/>
    <w:rsid w:val="001624D4"/>
    <w:rsid w:val="00162B14"/>
    <w:rsid w:val="00162CE5"/>
    <w:rsid w:val="001636CF"/>
    <w:rsid w:val="00163BE9"/>
    <w:rsid w:val="00163E64"/>
    <w:rsid w:val="00164A28"/>
    <w:rsid w:val="00165109"/>
    <w:rsid w:val="00165F27"/>
    <w:rsid w:val="001665C3"/>
    <w:rsid w:val="00166753"/>
    <w:rsid w:val="00167599"/>
    <w:rsid w:val="00167833"/>
    <w:rsid w:val="00170019"/>
    <w:rsid w:val="00170D6D"/>
    <w:rsid w:val="00170D8E"/>
    <w:rsid w:val="001718BE"/>
    <w:rsid w:val="0017191E"/>
    <w:rsid w:val="00171F6D"/>
    <w:rsid w:val="0017220E"/>
    <w:rsid w:val="0017273E"/>
    <w:rsid w:val="0017351D"/>
    <w:rsid w:val="00173901"/>
    <w:rsid w:val="0017416F"/>
    <w:rsid w:val="00174BD2"/>
    <w:rsid w:val="001752A4"/>
    <w:rsid w:val="00175A4F"/>
    <w:rsid w:val="0017642B"/>
    <w:rsid w:val="001768A3"/>
    <w:rsid w:val="00176D69"/>
    <w:rsid w:val="00176D6C"/>
    <w:rsid w:val="00177104"/>
    <w:rsid w:val="00177139"/>
    <w:rsid w:val="001775F3"/>
    <w:rsid w:val="00180137"/>
    <w:rsid w:val="00180766"/>
    <w:rsid w:val="001809F2"/>
    <w:rsid w:val="00180CB7"/>
    <w:rsid w:val="00180CEE"/>
    <w:rsid w:val="001820FD"/>
    <w:rsid w:val="0018220C"/>
    <w:rsid w:val="0018361F"/>
    <w:rsid w:val="00183CBC"/>
    <w:rsid w:val="00184CBF"/>
    <w:rsid w:val="0018655D"/>
    <w:rsid w:val="00187223"/>
    <w:rsid w:val="00187963"/>
    <w:rsid w:val="00187A76"/>
    <w:rsid w:val="0019061E"/>
    <w:rsid w:val="001916D9"/>
    <w:rsid w:val="00191C44"/>
    <w:rsid w:val="00191F30"/>
    <w:rsid w:val="0019235F"/>
    <w:rsid w:val="00192532"/>
    <w:rsid w:val="00192563"/>
    <w:rsid w:val="00192C8E"/>
    <w:rsid w:val="00194B3A"/>
    <w:rsid w:val="00194E8F"/>
    <w:rsid w:val="001951A1"/>
    <w:rsid w:val="00195225"/>
    <w:rsid w:val="00197D04"/>
    <w:rsid w:val="001A0099"/>
    <w:rsid w:val="001A01C0"/>
    <w:rsid w:val="001A0376"/>
    <w:rsid w:val="001A0D19"/>
    <w:rsid w:val="001A15B3"/>
    <w:rsid w:val="001A1836"/>
    <w:rsid w:val="001A1CC5"/>
    <w:rsid w:val="001A1DEE"/>
    <w:rsid w:val="001A1E5B"/>
    <w:rsid w:val="001A21AA"/>
    <w:rsid w:val="001A286C"/>
    <w:rsid w:val="001A2C4D"/>
    <w:rsid w:val="001A4B1A"/>
    <w:rsid w:val="001A5092"/>
    <w:rsid w:val="001A5202"/>
    <w:rsid w:val="001A59A5"/>
    <w:rsid w:val="001A61D8"/>
    <w:rsid w:val="001A6C2B"/>
    <w:rsid w:val="001A6E21"/>
    <w:rsid w:val="001A6EDE"/>
    <w:rsid w:val="001A78C3"/>
    <w:rsid w:val="001B03A7"/>
    <w:rsid w:val="001B04AB"/>
    <w:rsid w:val="001B1CCF"/>
    <w:rsid w:val="001B1E60"/>
    <w:rsid w:val="001B2683"/>
    <w:rsid w:val="001B29AF"/>
    <w:rsid w:val="001B2D89"/>
    <w:rsid w:val="001B308F"/>
    <w:rsid w:val="001B34D0"/>
    <w:rsid w:val="001B4057"/>
    <w:rsid w:val="001B4238"/>
    <w:rsid w:val="001B4881"/>
    <w:rsid w:val="001B4AE7"/>
    <w:rsid w:val="001B50FA"/>
    <w:rsid w:val="001B5366"/>
    <w:rsid w:val="001B7D40"/>
    <w:rsid w:val="001C0652"/>
    <w:rsid w:val="001C09BB"/>
    <w:rsid w:val="001C0A34"/>
    <w:rsid w:val="001C1291"/>
    <w:rsid w:val="001C1296"/>
    <w:rsid w:val="001C2A37"/>
    <w:rsid w:val="001C3C39"/>
    <w:rsid w:val="001C444A"/>
    <w:rsid w:val="001C575D"/>
    <w:rsid w:val="001C63E1"/>
    <w:rsid w:val="001C6716"/>
    <w:rsid w:val="001D0D6B"/>
    <w:rsid w:val="001D0E25"/>
    <w:rsid w:val="001D0F6A"/>
    <w:rsid w:val="001D12DE"/>
    <w:rsid w:val="001D294F"/>
    <w:rsid w:val="001D29FB"/>
    <w:rsid w:val="001D3387"/>
    <w:rsid w:val="001D35D3"/>
    <w:rsid w:val="001D3D69"/>
    <w:rsid w:val="001D44C6"/>
    <w:rsid w:val="001D4F06"/>
    <w:rsid w:val="001D4FB5"/>
    <w:rsid w:val="001D50F2"/>
    <w:rsid w:val="001D5415"/>
    <w:rsid w:val="001D594C"/>
    <w:rsid w:val="001D6572"/>
    <w:rsid w:val="001D6A23"/>
    <w:rsid w:val="001D6C7B"/>
    <w:rsid w:val="001D6F62"/>
    <w:rsid w:val="001D70BA"/>
    <w:rsid w:val="001D79AF"/>
    <w:rsid w:val="001E0433"/>
    <w:rsid w:val="001E10C3"/>
    <w:rsid w:val="001E122D"/>
    <w:rsid w:val="001E194E"/>
    <w:rsid w:val="001E1DEC"/>
    <w:rsid w:val="001E1EE2"/>
    <w:rsid w:val="001E1F87"/>
    <w:rsid w:val="001E2D60"/>
    <w:rsid w:val="001E2FEC"/>
    <w:rsid w:val="001E3056"/>
    <w:rsid w:val="001E35B1"/>
    <w:rsid w:val="001E3930"/>
    <w:rsid w:val="001E3988"/>
    <w:rsid w:val="001E5291"/>
    <w:rsid w:val="001E547D"/>
    <w:rsid w:val="001E602F"/>
    <w:rsid w:val="001E6266"/>
    <w:rsid w:val="001E6C67"/>
    <w:rsid w:val="001E73A9"/>
    <w:rsid w:val="001E7CC0"/>
    <w:rsid w:val="001F1281"/>
    <w:rsid w:val="001F152D"/>
    <w:rsid w:val="001F21EF"/>
    <w:rsid w:val="001F2412"/>
    <w:rsid w:val="001F2607"/>
    <w:rsid w:val="001F272D"/>
    <w:rsid w:val="001F296E"/>
    <w:rsid w:val="001F3ACF"/>
    <w:rsid w:val="001F4EC5"/>
    <w:rsid w:val="001F4F2D"/>
    <w:rsid w:val="001F5BBD"/>
    <w:rsid w:val="001F668B"/>
    <w:rsid w:val="001F676E"/>
    <w:rsid w:val="001F7373"/>
    <w:rsid w:val="001F7410"/>
    <w:rsid w:val="001F7534"/>
    <w:rsid w:val="001F7940"/>
    <w:rsid w:val="001F7E66"/>
    <w:rsid w:val="001F7F35"/>
    <w:rsid w:val="0020029F"/>
    <w:rsid w:val="00200609"/>
    <w:rsid w:val="00201704"/>
    <w:rsid w:val="00202324"/>
    <w:rsid w:val="00202444"/>
    <w:rsid w:val="00203445"/>
    <w:rsid w:val="002034DA"/>
    <w:rsid w:val="00203635"/>
    <w:rsid w:val="00203CB4"/>
    <w:rsid w:val="00204052"/>
    <w:rsid w:val="0020472C"/>
    <w:rsid w:val="002047F8"/>
    <w:rsid w:val="002054CE"/>
    <w:rsid w:val="00206039"/>
    <w:rsid w:val="0020605F"/>
    <w:rsid w:val="00206589"/>
    <w:rsid w:val="002079C8"/>
    <w:rsid w:val="00207D85"/>
    <w:rsid w:val="00207FD4"/>
    <w:rsid w:val="002101CC"/>
    <w:rsid w:val="002101FC"/>
    <w:rsid w:val="002103E9"/>
    <w:rsid w:val="00211518"/>
    <w:rsid w:val="00211670"/>
    <w:rsid w:val="00211ADB"/>
    <w:rsid w:val="00211B77"/>
    <w:rsid w:val="002124A7"/>
    <w:rsid w:val="002127E0"/>
    <w:rsid w:val="002129E6"/>
    <w:rsid w:val="00212B77"/>
    <w:rsid w:val="00212F84"/>
    <w:rsid w:val="00213055"/>
    <w:rsid w:val="00213916"/>
    <w:rsid w:val="00213A97"/>
    <w:rsid w:val="00213C06"/>
    <w:rsid w:val="002146FE"/>
    <w:rsid w:val="002147E9"/>
    <w:rsid w:val="00214967"/>
    <w:rsid w:val="0021563B"/>
    <w:rsid w:val="00215902"/>
    <w:rsid w:val="00215CE1"/>
    <w:rsid w:val="00215E00"/>
    <w:rsid w:val="0021649A"/>
    <w:rsid w:val="002172F3"/>
    <w:rsid w:val="00217514"/>
    <w:rsid w:val="00217BA0"/>
    <w:rsid w:val="002204C5"/>
    <w:rsid w:val="00221353"/>
    <w:rsid w:val="00222DEE"/>
    <w:rsid w:val="00223455"/>
    <w:rsid w:val="002241A1"/>
    <w:rsid w:val="00224638"/>
    <w:rsid w:val="0022470E"/>
    <w:rsid w:val="00224C9A"/>
    <w:rsid w:val="00226BD9"/>
    <w:rsid w:val="00227014"/>
    <w:rsid w:val="002276A9"/>
    <w:rsid w:val="00227921"/>
    <w:rsid w:val="0023033D"/>
    <w:rsid w:val="002313B4"/>
    <w:rsid w:val="00231C3C"/>
    <w:rsid w:val="00231C8D"/>
    <w:rsid w:val="00231F00"/>
    <w:rsid w:val="00232628"/>
    <w:rsid w:val="0023285A"/>
    <w:rsid w:val="00233282"/>
    <w:rsid w:val="00233A82"/>
    <w:rsid w:val="002341CA"/>
    <w:rsid w:val="00234304"/>
    <w:rsid w:val="00235834"/>
    <w:rsid w:val="0023585C"/>
    <w:rsid w:val="00235863"/>
    <w:rsid w:val="00235D7A"/>
    <w:rsid w:val="00235ED1"/>
    <w:rsid w:val="00236CE8"/>
    <w:rsid w:val="00237A22"/>
    <w:rsid w:val="00237AA7"/>
    <w:rsid w:val="00237F66"/>
    <w:rsid w:val="00242524"/>
    <w:rsid w:val="00243571"/>
    <w:rsid w:val="002447D3"/>
    <w:rsid w:val="00244E64"/>
    <w:rsid w:val="00245479"/>
    <w:rsid w:val="0024589B"/>
    <w:rsid w:val="00245F84"/>
    <w:rsid w:val="00246648"/>
    <w:rsid w:val="00246B9F"/>
    <w:rsid w:val="00247AAE"/>
    <w:rsid w:val="00247ECB"/>
    <w:rsid w:val="00250E14"/>
    <w:rsid w:val="00250E8E"/>
    <w:rsid w:val="00251671"/>
    <w:rsid w:val="002533ED"/>
    <w:rsid w:val="00253B31"/>
    <w:rsid w:val="00253CF1"/>
    <w:rsid w:val="00253FE1"/>
    <w:rsid w:val="00254061"/>
    <w:rsid w:val="0025411A"/>
    <w:rsid w:val="00254494"/>
    <w:rsid w:val="00254706"/>
    <w:rsid w:val="0025492A"/>
    <w:rsid w:val="00254E8E"/>
    <w:rsid w:val="002550C4"/>
    <w:rsid w:val="002552E2"/>
    <w:rsid w:val="0025588C"/>
    <w:rsid w:val="002565BC"/>
    <w:rsid w:val="002566A0"/>
    <w:rsid w:val="002570D6"/>
    <w:rsid w:val="002613F7"/>
    <w:rsid w:val="00261C37"/>
    <w:rsid w:val="00261C9F"/>
    <w:rsid w:val="00262982"/>
    <w:rsid w:val="00262CB9"/>
    <w:rsid w:val="00262F5B"/>
    <w:rsid w:val="002630F3"/>
    <w:rsid w:val="002645B2"/>
    <w:rsid w:val="00265408"/>
    <w:rsid w:val="00265D3A"/>
    <w:rsid w:val="00265F1C"/>
    <w:rsid w:val="00266524"/>
    <w:rsid w:val="00266D32"/>
    <w:rsid w:val="00267141"/>
    <w:rsid w:val="00267A7A"/>
    <w:rsid w:val="00267AE8"/>
    <w:rsid w:val="00270705"/>
    <w:rsid w:val="00272291"/>
    <w:rsid w:val="00272F3E"/>
    <w:rsid w:val="00273222"/>
    <w:rsid w:val="0027356C"/>
    <w:rsid w:val="00273D5A"/>
    <w:rsid w:val="00273F7E"/>
    <w:rsid w:val="00274158"/>
    <w:rsid w:val="00274190"/>
    <w:rsid w:val="00274681"/>
    <w:rsid w:val="00274EA2"/>
    <w:rsid w:val="00275D2C"/>
    <w:rsid w:val="00276E90"/>
    <w:rsid w:val="002771A2"/>
    <w:rsid w:val="00277BAC"/>
    <w:rsid w:val="002803C2"/>
    <w:rsid w:val="00281D28"/>
    <w:rsid w:val="00281E7E"/>
    <w:rsid w:val="002824F8"/>
    <w:rsid w:val="00282632"/>
    <w:rsid w:val="002826C5"/>
    <w:rsid w:val="00282A98"/>
    <w:rsid w:val="00283B3D"/>
    <w:rsid w:val="00283CB0"/>
    <w:rsid w:val="002851F6"/>
    <w:rsid w:val="0028548E"/>
    <w:rsid w:val="00285544"/>
    <w:rsid w:val="00285670"/>
    <w:rsid w:val="00285843"/>
    <w:rsid w:val="00286469"/>
    <w:rsid w:val="00286604"/>
    <w:rsid w:val="00286749"/>
    <w:rsid w:val="0028688D"/>
    <w:rsid w:val="00286A8C"/>
    <w:rsid w:val="00286EE4"/>
    <w:rsid w:val="002879D3"/>
    <w:rsid w:val="00287A54"/>
    <w:rsid w:val="00287D86"/>
    <w:rsid w:val="00290227"/>
    <w:rsid w:val="0029025D"/>
    <w:rsid w:val="00290BA4"/>
    <w:rsid w:val="00290C45"/>
    <w:rsid w:val="00290CFD"/>
    <w:rsid w:val="00290DC6"/>
    <w:rsid w:val="002921AA"/>
    <w:rsid w:val="0029282E"/>
    <w:rsid w:val="00292C88"/>
    <w:rsid w:val="002942D0"/>
    <w:rsid w:val="002943E8"/>
    <w:rsid w:val="002945AE"/>
    <w:rsid w:val="00294C46"/>
    <w:rsid w:val="00294FA1"/>
    <w:rsid w:val="00295339"/>
    <w:rsid w:val="002956E0"/>
    <w:rsid w:val="00295BDB"/>
    <w:rsid w:val="00296508"/>
    <w:rsid w:val="002A0334"/>
    <w:rsid w:val="002A0D4B"/>
    <w:rsid w:val="002A137C"/>
    <w:rsid w:val="002A1ABE"/>
    <w:rsid w:val="002A3992"/>
    <w:rsid w:val="002A432D"/>
    <w:rsid w:val="002A43DB"/>
    <w:rsid w:val="002A4699"/>
    <w:rsid w:val="002A4B2D"/>
    <w:rsid w:val="002A569E"/>
    <w:rsid w:val="002A689D"/>
    <w:rsid w:val="002A6A71"/>
    <w:rsid w:val="002A78AB"/>
    <w:rsid w:val="002A7CAD"/>
    <w:rsid w:val="002B094D"/>
    <w:rsid w:val="002B0A03"/>
    <w:rsid w:val="002B0EC0"/>
    <w:rsid w:val="002B115F"/>
    <w:rsid w:val="002B152E"/>
    <w:rsid w:val="002B1C1D"/>
    <w:rsid w:val="002B3097"/>
    <w:rsid w:val="002B30B6"/>
    <w:rsid w:val="002B3376"/>
    <w:rsid w:val="002B355E"/>
    <w:rsid w:val="002B3F19"/>
    <w:rsid w:val="002B4904"/>
    <w:rsid w:val="002B54B2"/>
    <w:rsid w:val="002B5AB0"/>
    <w:rsid w:val="002B5FD2"/>
    <w:rsid w:val="002B6033"/>
    <w:rsid w:val="002C00E4"/>
    <w:rsid w:val="002C040E"/>
    <w:rsid w:val="002C0780"/>
    <w:rsid w:val="002C0B43"/>
    <w:rsid w:val="002C103B"/>
    <w:rsid w:val="002C17B5"/>
    <w:rsid w:val="002C2848"/>
    <w:rsid w:val="002C302C"/>
    <w:rsid w:val="002C30C1"/>
    <w:rsid w:val="002C33AC"/>
    <w:rsid w:val="002C3577"/>
    <w:rsid w:val="002C3655"/>
    <w:rsid w:val="002C37E0"/>
    <w:rsid w:val="002C3C15"/>
    <w:rsid w:val="002C425B"/>
    <w:rsid w:val="002C4993"/>
    <w:rsid w:val="002C4F39"/>
    <w:rsid w:val="002C5041"/>
    <w:rsid w:val="002C55D6"/>
    <w:rsid w:val="002C6286"/>
    <w:rsid w:val="002C6E4E"/>
    <w:rsid w:val="002C7279"/>
    <w:rsid w:val="002C75F1"/>
    <w:rsid w:val="002C7CB0"/>
    <w:rsid w:val="002D0463"/>
    <w:rsid w:val="002D0729"/>
    <w:rsid w:val="002D0816"/>
    <w:rsid w:val="002D221F"/>
    <w:rsid w:val="002D39B0"/>
    <w:rsid w:val="002D3E56"/>
    <w:rsid w:val="002D49EB"/>
    <w:rsid w:val="002D4ACA"/>
    <w:rsid w:val="002D4B61"/>
    <w:rsid w:val="002D5666"/>
    <w:rsid w:val="002D5784"/>
    <w:rsid w:val="002D67CC"/>
    <w:rsid w:val="002D737E"/>
    <w:rsid w:val="002D7787"/>
    <w:rsid w:val="002D7B22"/>
    <w:rsid w:val="002D7EF7"/>
    <w:rsid w:val="002E01D8"/>
    <w:rsid w:val="002E0CF1"/>
    <w:rsid w:val="002E1F2A"/>
    <w:rsid w:val="002E25E3"/>
    <w:rsid w:val="002E272C"/>
    <w:rsid w:val="002E2BE5"/>
    <w:rsid w:val="002E2F26"/>
    <w:rsid w:val="002E3A24"/>
    <w:rsid w:val="002E4007"/>
    <w:rsid w:val="002E4634"/>
    <w:rsid w:val="002E4CF2"/>
    <w:rsid w:val="002E4CFB"/>
    <w:rsid w:val="002E4D7F"/>
    <w:rsid w:val="002E5367"/>
    <w:rsid w:val="002E5B78"/>
    <w:rsid w:val="002E5E1A"/>
    <w:rsid w:val="002E5FCD"/>
    <w:rsid w:val="002E6288"/>
    <w:rsid w:val="002E67F8"/>
    <w:rsid w:val="002E6B01"/>
    <w:rsid w:val="002E6B17"/>
    <w:rsid w:val="002E6B42"/>
    <w:rsid w:val="002E6C8A"/>
    <w:rsid w:val="002E6D91"/>
    <w:rsid w:val="002F01C2"/>
    <w:rsid w:val="002F056A"/>
    <w:rsid w:val="002F0A0F"/>
    <w:rsid w:val="002F0D60"/>
    <w:rsid w:val="002F0DC6"/>
    <w:rsid w:val="002F0E3C"/>
    <w:rsid w:val="002F19E8"/>
    <w:rsid w:val="002F1B4D"/>
    <w:rsid w:val="002F1B93"/>
    <w:rsid w:val="002F2131"/>
    <w:rsid w:val="002F26B4"/>
    <w:rsid w:val="002F2FB8"/>
    <w:rsid w:val="002F4426"/>
    <w:rsid w:val="002F53F9"/>
    <w:rsid w:val="002F621A"/>
    <w:rsid w:val="002F7CC4"/>
    <w:rsid w:val="00300A4E"/>
    <w:rsid w:val="00301266"/>
    <w:rsid w:val="00301443"/>
    <w:rsid w:val="00302276"/>
    <w:rsid w:val="00302A5A"/>
    <w:rsid w:val="00302CCF"/>
    <w:rsid w:val="00302EC2"/>
    <w:rsid w:val="00304B2B"/>
    <w:rsid w:val="00306141"/>
    <w:rsid w:val="00306AC9"/>
    <w:rsid w:val="0030734A"/>
    <w:rsid w:val="00307881"/>
    <w:rsid w:val="00307A79"/>
    <w:rsid w:val="00307B9A"/>
    <w:rsid w:val="00307C06"/>
    <w:rsid w:val="003107CE"/>
    <w:rsid w:val="0031082A"/>
    <w:rsid w:val="00310F02"/>
    <w:rsid w:val="003123F8"/>
    <w:rsid w:val="0031256D"/>
    <w:rsid w:val="0031283B"/>
    <w:rsid w:val="00312B47"/>
    <w:rsid w:val="00312D97"/>
    <w:rsid w:val="003137F9"/>
    <w:rsid w:val="00313995"/>
    <w:rsid w:val="003149D2"/>
    <w:rsid w:val="00314A1D"/>
    <w:rsid w:val="00314BF9"/>
    <w:rsid w:val="003155A9"/>
    <w:rsid w:val="003155DF"/>
    <w:rsid w:val="00315A84"/>
    <w:rsid w:val="00316068"/>
    <w:rsid w:val="0031666C"/>
    <w:rsid w:val="003168FE"/>
    <w:rsid w:val="00316A5F"/>
    <w:rsid w:val="003172CC"/>
    <w:rsid w:val="0031774A"/>
    <w:rsid w:val="00317C1B"/>
    <w:rsid w:val="00317DFC"/>
    <w:rsid w:val="00320602"/>
    <w:rsid w:val="00320744"/>
    <w:rsid w:val="00320F01"/>
    <w:rsid w:val="00320F95"/>
    <w:rsid w:val="00321F85"/>
    <w:rsid w:val="003222AC"/>
    <w:rsid w:val="00322A81"/>
    <w:rsid w:val="00323C3B"/>
    <w:rsid w:val="003243CA"/>
    <w:rsid w:val="00324439"/>
    <w:rsid w:val="00324C67"/>
    <w:rsid w:val="0032567A"/>
    <w:rsid w:val="003257CB"/>
    <w:rsid w:val="00325EAA"/>
    <w:rsid w:val="00326AE5"/>
    <w:rsid w:val="003278B4"/>
    <w:rsid w:val="0033070B"/>
    <w:rsid w:val="00330F16"/>
    <w:rsid w:val="003315E1"/>
    <w:rsid w:val="00331C30"/>
    <w:rsid w:val="00331C8C"/>
    <w:rsid w:val="00332576"/>
    <w:rsid w:val="003328BB"/>
    <w:rsid w:val="00333DD2"/>
    <w:rsid w:val="00333ED3"/>
    <w:rsid w:val="00334041"/>
    <w:rsid w:val="00334825"/>
    <w:rsid w:val="0033548A"/>
    <w:rsid w:val="003355D4"/>
    <w:rsid w:val="00336B78"/>
    <w:rsid w:val="00336EA2"/>
    <w:rsid w:val="00337887"/>
    <w:rsid w:val="00337F97"/>
    <w:rsid w:val="003400E3"/>
    <w:rsid w:val="00340CC0"/>
    <w:rsid w:val="003411D4"/>
    <w:rsid w:val="00341E07"/>
    <w:rsid w:val="003427F1"/>
    <w:rsid w:val="00342F63"/>
    <w:rsid w:val="00343A34"/>
    <w:rsid w:val="003448ED"/>
    <w:rsid w:val="0034497B"/>
    <w:rsid w:val="00345841"/>
    <w:rsid w:val="00345B8F"/>
    <w:rsid w:val="003460B2"/>
    <w:rsid w:val="003460C7"/>
    <w:rsid w:val="003468BF"/>
    <w:rsid w:val="00346E1E"/>
    <w:rsid w:val="00346F47"/>
    <w:rsid w:val="003477AD"/>
    <w:rsid w:val="00347DB5"/>
    <w:rsid w:val="003504D0"/>
    <w:rsid w:val="0035051C"/>
    <w:rsid w:val="00350692"/>
    <w:rsid w:val="003516A1"/>
    <w:rsid w:val="00351BC4"/>
    <w:rsid w:val="00351DC8"/>
    <w:rsid w:val="003527CE"/>
    <w:rsid w:val="003537C8"/>
    <w:rsid w:val="00354337"/>
    <w:rsid w:val="00354678"/>
    <w:rsid w:val="0035489B"/>
    <w:rsid w:val="00354E7F"/>
    <w:rsid w:val="0035511D"/>
    <w:rsid w:val="003552A3"/>
    <w:rsid w:val="00356AA5"/>
    <w:rsid w:val="00357D70"/>
    <w:rsid w:val="00360247"/>
    <w:rsid w:val="00360657"/>
    <w:rsid w:val="00361EF4"/>
    <w:rsid w:val="00362125"/>
    <w:rsid w:val="00363086"/>
    <w:rsid w:val="0036326D"/>
    <w:rsid w:val="00364284"/>
    <w:rsid w:val="003642EB"/>
    <w:rsid w:val="00364550"/>
    <w:rsid w:val="00364EBB"/>
    <w:rsid w:val="00365114"/>
    <w:rsid w:val="003653C7"/>
    <w:rsid w:val="0036573E"/>
    <w:rsid w:val="003658D3"/>
    <w:rsid w:val="00365949"/>
    <w:rsid w:val="00365F02"/>
    <w:rsid w:val="00366157"/>
    <w:rsid w:val="003662BD"/>
    <w:rsid w:val="00366437"/>
    <w:rsid w:val="00366730"/>
    <w:rsid w:val="00366943"/>
    <w:rsid w:val="00367AA8"/>
    <w:rsid w:val="0037103E"/>
    <w:rsid w:val="00371185"/>
    <w:rsid w:val="00371C14"/>
    <w:rsid w:val="0037251F"/>
    <w:rsid w:val="00372765"/>
    <w:rsid w:val="00372C36"/>
    <w:rsid w:val="00372CA0"/>
    <w:rsid w:val="00374244"/>
    <w:rsid w:val="00374CE6"/>
    <w:rsid w:val="00375291"/>
    <w:rsid w:val="00375598"/>
    <w:rsid w:val="003756CA"/>
    <w:rsid w:val="003758C5"/>
    <w:rsid w:val="003758CE"/>
    <w:rsid w:val="00375EFE"/>
    <w:rsid w:val="00375F7A"/>
    <w:rsid w:val="0037683A"/>
    <w:rsid w:val="00376CC2"/>
    <w:rsid w:val="00376E17"/>
    <w:rsid w:val="00376F72"/>
    <w:rsid w:val="00377A62"/>
    <w:rsid w:val="00377B2F"/>
    <w:rsid w:val="00380863"/>
    <w:rsid w:val="00380D41"/>
    <w:rsid w:val="00380DA5"/>
    <w:rsid w:val="00381E1C"/>
    <w:rsid w:val="0038367D"/>
    <w:rsid w:val="003839CF"/>
    <w:rsid w:val="00383A6B"/>
    <w:rsid w:val="00383AFE"/>
    <w:rsid w:val="00384AC7"/>
    <w:rsid w:val="0038620C"/>
    <w:rsid w:val="00386391"/>
    <w:rsid w:val="003863ED"/>
    <w:rsid w:val="00386CCA"/>
    <w:rsid w:val="00387364"/>
    <w:rsid w:val="00390FAE"/>
    <w:rsid w:val="003910DB"/>
    <w:rsid w:val="00392238"/>
    <w:rsid w:val="0039258C"/>
    <w:rsid w:val="0039295F"/>
    <w:rsid w:val="003929B4"/>
    <w:rsid w:val="00392BB1"/>
    <w:rsid w:val="003930A4"/>
    <w:rsid w:val="003931CF"/>
    <w:rsid w:val="00393C10"/>
    <w:rsid w:val="003943A8"/>
    <w:rsid w:val="003943BC"/>
    <w:rsid w:val="00394A39"/>
    <w:rsid w:val="00394C7C"/>
    <w:rsid w:val="0039511D"/>
    <w:rsid w:val="00395BD3"/>
    <w:rsid w:val="00395C40"/>
    <w:rsid w:val="00396605"/>
    <w:rsid w:val="003968D8"/>
    <w:rsid w:val="00397515"/>
    <w:rsid w:val="00397687"/>
    <w:rsid w:val="003A16BB"/>
    <w:rsid w:val="003A1716"/>
    <w:rsid w:val="003A20C5"/>
    <w:rsid w:val="003A222B"/>
    <w:rsid w:val="003A227F"/>
    <w:rsid w:val="003A2327"/>
    <w:rsid w:val="003A2B93"/>
    <w:rsid w:val="003A3912"/>
    <w:rsid w:val="003A40D0"/>
    <w:rsid w:val="003A479B"/>
    <w:rsid w:val="003A5109"/>
    <w:rsid w:val="003A528C"/>
    <w:rsid w:val="003A5CDF"/>
    <w:rsid w:val="003A6B06"/>
    <w:rsid w:val="003A6B38"/>
    <w:rsid w:val="003A6B5C"/>
    <w:rsid w:val="003A6DEC"/>
    <w:rsid w:val="003B012A"/>
    <w:rsid w:val="003B0A8F"/>
    <w:rsid w:val="003B1411"/>
    <w:rsid w:val="003B1572"/>
    <w:rsid w:val="003B200E"/>
    <w:rsid w:val="003B2846"/>
    <w:rsid w:val="003B2C1E"/>
    <w:rsid w:val="003B3B1D"/>
    <w:rsid w:val="003B52F2"/>
    <w:rsid w:val="003B5421"/>
    <w:rsid w:val="003B5DF7"/>
    <w:rsid w:val="003B63B6"/>
    <w:rsid w:val="003B6595"/>
    <w:rsid w:val="003B65D6"/>
    <w:rsid w:val="003B675D"/>
    <w:rsid w:val="003B6BF3"/>
    <w:rsid w:val="003B6D93"/>
    <w:rsid w:val="003B7127"/>
    <w:rsid w:val="003B7DFB"/>
    <w:rsid w:val="003B7EA6"/>
    <w:rsid w:val="003B7F53"/>
    <w:rsid w:val="003C053F"/>
    <w:rsid w:val="003C0973"/>
    <w:rsid w:val="003C0C06"/>
    <w:rsid w:val="003C136E"/>
    <w:rsid w:val="003C1C38"/>
    <w:rsid w:val="003C2158"/>
    <w:rsid w:val="003C2874"/>
    <w:rsid w:val="003C2B37"/>
    <w:rsid w:val="003C3058"/>
    <w:rsid w:val="003C30B7"/>
    <w:rsid w:val="003C3506"/>
    <w:rsid w:val="003C3B52"/>
    <w:rsid w:val="003C3B6F"/>
    <w:rsid w:val="003C3B89"/>
    <w:rsid w:val="003C3BD2"/>
    <w:rsid w:val="003C3CB0"/>
    <w:rsid w:val="003C3FC7"/>
    <w:rsid w:val="003C416F"/>
    <w:rsid w:val="003C4866"/>
    <w:rsid w:val="003C4B20"/>
    <w:rsid w:val="003C4D78"/>
    <w:rsid w:val="003C4F89"/>
    <w:rsid w:val="003C51FF"/>
    <w:rsid w:val="003C5475"/>
    <w:rsid w:val="003C5EA0"/>
    <w:rsid w:val="003C6C5A"/>
    <w:rsid w:val="003C769C"/>
    <w:rsid w:val="003D094A"/>
    <w:rsid w:val="003D11C6"/>
    <w:rsid w:val="003D2517"/>
    <w:rsid w:val="003D25C5"/>
    <w:rsid w:val="003D2BF0"/>
    <w:rsid w:val="003D2FB9"/>
    <w:rsid w:val="003D2FCF"/>
    <w:rsid w:val="003D3035"/>
    <w:rsid w:val="003D395D"/>
    <w:rsid w:val="003D410C"/>
    <w:rsid w:val="003D4F45"/>
    <w:rsid w:val="003D66BF"/>
    <w:rsid w:val="003D753A"/>
    <w:rsid w:val="003D7DEF"/>
    <w:rsid w:val="003D7EDB"/>
    <w:rsid w:val="003D7F86"/>
    <w:rsid w:val="003E08D6"/>
    <w:rsid w:val="003E08EF"/>
    <w:rsid w:val="003E0AE8"/>
    <w:rsid w:val="003E0E7A"/>
    <w:rsid w:val="003E10DB"/>
    <w:rsid w:val="003E1169"/>
    <w:rsid w:val="003E19CD"/>
    <w:rsid w:val="003E1FB9"/>
    <w:rsid w:val="003E2417"/>
    <w:rsid w:val="003E2AD5"/>
    <w:rsid w:val="003E31D6"/>
    <w:rsid w:val="003E45D7"/>
    <w:rsid w:val="003E4E09"/>
    <w:rsid w:val="003E526D"/>
    <w:rsid w:val="003E5C9A"/>
    <w:rsid w:val="003E5F07"/>
    <w:rsid w:val="003E5FC0"/>
    <w:rsid w:val="003E6DF1"/>
    <w:rsid w:val="003F0D63"/>
    <w:rsid w:val="003F14DC"/>
    <w:rsid w:val="003F1711"/>
    <w:rsid w:val="003F1AB6"/>
    <w:rsid w:val="003F1E63"/>
    <w:rsid w:val="003F1F04"/>
    <w:rsid w:val="003F20CB"/>
    <w:rsid w:val="003F21F9"/>
    <w:rsid w:val="003F24C3"/>
    <w:rsid w:val="003F263F"/>
    <w:rsid w:val="003F267C"/>
    <w:rsid w:val="003F2A4B"/>
    <w:rsid w:val="003F2FDF"/>
    <w:rsid w:val="003F3B19"/>
    <w:rsid w:val="003F3B6C"/>
    <w:rsid w:val="003F4050"/>
    <w:rsid w:val="003F410E"/>
    <w:rsid w:val="003F41D8"/>
    <w:rsid w:val="003F44A7"/>
    <w:rsid w:val="003F4BF8"/>
    <w:rsid w:val="003F4F73"/>
    <w:rsid w:val="003F58FF"/>
    <w:rsid w:val="003F5A1B"/>
    <w:rsid w:val="003F6337"/>
    <w:rsid w:val="003F63C3"/>
    <w:rsid w:val="003F669D"/>
    <w:rsid w:val="003F67D3"/>
    <w:rsid w:val="003F6824"/>
    <w:rsid w:val="003F6E57"/>
    <w:rsid w:val="003F7058"/>
    <w:rsid w:val="003F7B02"/>
    <w:rsid w:val="004002C5"/>
    <w:rsid w:val="0040165E"/>
    <w:rsid w:val="00401DF2"/>
    <w:rsid w:val="004028B1"/>
    <w:rsid w:val="0040371A"/>
    <w:rsid w:val="004039A6"/>
    <w:rsid w:val="004048D3"/>
    <w:rsid w:val="00404E5A"/>
    <w:rsid w:val="0040505A"/>
    <w:rsid w:val="004068BB"/>
    <w:rsid w:val="00406E13"/>
    <w:rsid w:val="0040711D"/>
    <w:rsid w:val="00407D62"/>
    <w:rsid w:val="0041074D"/>
    <w:rsid w:val="00410889"/>
    <w:rsid w:val="00410C35"/>
    <w:rsid w:val="0041117C"/>
    <w:rsid w:val="004111AD"/>
    <w:rsid w:val="004113D0"/>
    <w:rsid w:val="0041147D"/>
    <w:rsid w:val="00411654"/>
    <w:rsid w:val="0041283C"/>
    <w:rsid w:val="00412F10"/>
    <w:rsid w:val="00413477"/>
    <w:rsid w:val="00413EB0"/>
    <w:rsid w:val="00414485"/>
    <w:rsid w:val="004146B7"/>
    <w:rsid w:val="00414BCE"/>
    <w:rsid w:val="00414EC7"/>
    <w:rsid w:val="00414FF1"/>
    <w:rsid w:val="0041594C"/>
    <w:rsid w:val="00417D42"/>
    <w:rsid w:val="00417DE7"/>
    <w:rsid w:val="00417FBD"/>
    <w:rsid w:val="004207C5"/>
    <w:rsid w:val="00420BA1"/>
    <w:rsid w:val="00420C16"/>
    <w:rsid w:val="00420D82"/>
    <w:rsid w:val="004213E6"/>
    <w:rsid w:val="004217BD"/>
    <w:rsid w:val="004228D5"/>
    <w:rsid w:val="00422F06"/>
    <w:rsid w:val="0042397D"/>
    <w:rsid w:val="00423C4C"/>
    <w:rsid w:val="00423ECF"/>
    <w:rsid w:val="004243C0"/>
    <w:rsid w:val="00424575"/>
    <w:rsid w:val="004245B8"/>
    <w:rsid w:val="00424782"/>
    <w:rsid w:val="00425BD7"/>
    <w:rsid w:val="0042669C"/>
    <w:rsid w:val="00426A19"/>
    <w:rsid w:val="004277F0"/>
    <w:rsid w:val="004300D2"/>
    <w:rsid w:val="0043030F"/>
    <w:rsid w:val="004308ED"/>
    <w:rsid w:val="004309A3"/>
    <w:rsid w:val="00430C78"/>
    <w:rsid w:val="0043122C"/>
    <w:rsid w:val="00431922"/>
    <w:rsid w:val="00432066"/>
    <w:rsid w:val="00432290"/>
    <w:rsid w:val="0043291D"/>
    <w:rsid w:val="004329D1"/>
    <w:rsid w:val="00432B8A"/>
    <w:rsid w:val="00432CB8"/>
    <w:rsid w:val="00433107"/>
    <w:rsid w:val="004341B5"/>
    <w:rsid w:val="00434965"/>
    <w:rsid w:val="00434A38"/>
    <w:rsid w:val="00435238"/>
    <w:rsid w:val="004360BC"/>
    <w:rsid w:val="00436238"/>
    <w:rsid w:val="004362CE"/>
    <w:rsid w:val="004366B6"/>
    <w:rsid w:val="00437AD9"/>
    <w:rsid w:val="00437D8A"/>
    <w:rsid w:val="00440E3D"/>
    <w:rsid w:val="004415E8"/>
    <w:rsid w:val="004419DA"/>
    <w:rsid w:val="00441AC6"/>
    <w:rsid w:val="00441B82"/>
    <w:rsid w:val="00441D5D"/>
    <w:rsid w:val="004423F5"/>
    <w:rsid w:val="00442BC3"/>
    <w:rsid w:val="00442EB9"/>
    <w:rsid w:val="00442F69"/>
    <w:rsid w:val="004433B1"/>
    <w:rsid w:val="00443BBE"/>
    <w:rsid w:val="00443C10"/>
    <w:rsid w:val="00443F7B"/>
    <w:rsid w:val="0044423E"/>
    <w:rsid w:val="00444257"/>
    <w:rsid w:val="004444B6"/>
    <w:rsid w:val="00444ACB"/>
    <w:rsid w:val="00444CBF"/>
    <w:rsid w:val="00445933"/>
    <w:rsid w:val="004459BD"/>
    <w:rsid w:val="00445B71"/>
    <w:rsid w:val="00446271"/>
    <w:rsid w:val="00446E41"/>
    <w:rsid w:val="00446EF6"/>
    <w:rsid w:val="004473A6"/>
    <w:rsid w:val="00447CE2"/>
    <w:rsid w:val="0045004C"/>
    <w:rsid w:val="004504FB"/>
    <w:rsid w:val="004509C9"/>
    <w:rsid w:val="00451896"/>
    <w:rsid w:val="00451F6A"/>
    <w:rsid w:val="004523A0"/>
    <w:rsid w:val="00452BF8"/>
    <w:rsid w:val="004531E7"/>
    <w:rsid w:val="00453EFE"/>
    <w:rsid w:val="00454846"/>
    <w:rsid w:val="00454B7F"/>
    <w:rsid w:val="00455086"/>
    <w:rsid w:val="004557AB"/>
    <w:rsid w:val="00455B41"/>
    <w:rsid w:val="00455DFE"/>
    <w:rsid w:val="00456A96"/>
    <w:rsid w:val="004573F6"/>
    <w:rsid w:val="004576CB"/>
    <w:rsid w:val="004615DD"/>
    <w:rsid w:val="0046168A"/>
    <w:rsid w:val="00461893"/>
    <w:rsid w:val="00461CB4"/>
    <w:rsid w:val="00461FA5"/>
    <w:rsid w:val="00463098"/>
    <w:rsid w:val="00463173"/>
    <w:rsid w:val="00464131"/>
    <w:rsid w:val="00464CD8"/>
    <w:rsid w:val="00464FB9"/>
    <w:rsid w:val="00465775"/>
    <w:rsid w:val="00465801"/>
    <w:rsid w:val="00465C34"/>
    <w:rsid w:val="004663B9"/>
    <w:rsid w:val="00466F06"/>
    <w:rsid w:val="0046739D"/>
    <w:rsid w:val="004679BA"/>
    <w:rsid w:val="00470365"/>
    <w:rsid w:val="00470C02"/>
    <w:rsid w:val="00470ECB"/>
    <w:rsid w:val="00471552"/>
    <w:rsid w:val="00471A50"/>
    <w:rsid w:val="004727BF"/>
    <w:rsid w:val="004734DE"/>
    <w:rsid w:val="004759CE"/>
    <w:rsid w:val="00476866"/>
    <w:rsid w:val="00476CAE"/>
    <w:rsid w:val="004770DC"/>
    <w:rsid w:val="00477235"/>
    <w:rsid w:val="004779E2"/>
    <w:rsid w:val="00477E93"/>
    <w:rsid w:val="00483091"/>
    <w:rsid w:val="004831A2"/>
    <w:rsid w:val="0048327E"/>
    <w:rsid w:val="0048335F"/>
    <w:rsid w:val="00483E09"/>
    <w:rsid w:val="00483E20"/>
    <w:rsid w:val="004848B9"/>
    <w:rsid w:val="00485233"/>
    <w:rsid w:val="0048643B"/>
    <w:rsid w:val="004866B6"/>
    <w:rsid w:val="0048678D"/>
    <w:rsid w:val="004869A8"/>
    <w:rsid w:val="00487DBB"/>
    <w:rsid w:val="00487E34"/>
    <w:rsid w:val="0049065D"/>
    <w:rsid w:val="00490E8D"/>
    <w:rsid w:val="00490FE2"/>
    <w:rsid w:val="00490FE4"/>
    <w:rsid w:val="00491107"/>
    <w:rsid w:val="00491164"/>
    <w:rsid w:val="0049144B"/>
    <w:rsid w:val="00492531"/>
    <w:rsid w:val="00493C1F"/>
    <w:rsid w:val="00493C91"/>
    <w:rsid w:val="00493DFB"/>
    <w:rsid w:val="00494267"/>
    <w:rsid w:val="004945B4"/>
    <w:rsid w:val="00494B14"/>
    <w:rsid w:val="00494DA8"/>
    <w:rsid w:val="0049508A"/>
    <w:rsid w:val="00495102"/>
    <w:rsid w:val="0049518C"/>
    <w:rsid w:val="00496E15"/>
    <w:rsid w:val="00496F14"/>
    <w:rsid w:val="004979CD"/>
    <w:rsid w:val="00497FC8"/>
    <w:rsid w:val="004A04D7"/>
    <w:rsid w:val="004A0959"/>
    <w:rsid w:val="004A17A2"/>
    <w:rsid w:val="004A2D81"/>
    <w:rsid w:val="004A3C92"/>
    <w:rsid w:val="004A3DB2"/>
    <w:rsid w:val="004A3DE3"/>
    <w:rsid w:val="004A5298"/>
    <w:rsid w:val="004A5FF1"/>
    <w:rsid w:val="004A7606"/>
    <w:rsid w:val="004A760B"/>
    <w:rsid w:val="004A769F"/>
    <w:rsid w:val="004A783B"/>
    <w:rsid w:val="004B0790"/>
    <w:rsid w:val="004B0B94"/>
    <w:rsid w:val="004B1357"/>
    <w:rsid w:val="004B1FF8"/>
    <w:rsid w:val="004B3CB7"/>
    <w:rsid w:val="004B4851"/>
    <w:rsid w:val="004B4C5B"/>
    <w:rsid w:val="004B512C"/>
    <w:rsid w:val="004B53EB"/>
    <w:rsid w:val="004B5B02"/>
    <w:rsid w:val="004B6152"/>
    <w:rsid w:val="004B61BE"/>
    <w:rsid w:val="004B6AE3"/>
    <w:rsid w:val="004B7962"/>
    <w:rsid w:val="004C08B5"/>
    <w:rsid w:val="004C0EE3"/>
    <w:rsid w:val="004C18BC"/>
    <w:rsid w:val="004C393C"/>
    <w:rsid w:val="004C3FCA"/>
    <w:rsid w:val="004C4768"/>
    <w:rsid w:val="004C50F2"/>
    <w:rsid w:val="004C5741"/>
    <w:rsid w:val="004C66B7"/>
    <w:rsid w:val="004C68F9"/>
    <w:rsid w:val="004C6925"/>
    <w:rsid w:val="004C6A5A"/>
    <w:rsid w:val="004C6BBB"/>
    <w:rsid w:val="004C7B70"/>
    <w:rsid w:val="004C7EC2"/>
    <w:rsid w:val="004C7F2E"/>
    <w:rsid w:val="004C7F8C"/>
    <w:rsid w:val="004D0390"/>
    <w:rsid w:val="004D0919"/>
    <w:rsid w:val="004D0C01"/>
    <w:rsid w:val="004D1196"/>
    <w:rsid w:val="004D1786"/>
    <w:rsid w:val="004D1795"/>
    <w:rsid w:val="004D1A78"/>
    <w:rsid w:val="004D261F"/>
    <w:rsid w:val="004D3BB9"/>
    <w:rsid w:val="004D3C22"/>
    <w:rsid w:val="004D4453"/>
    <w:rsid w:val="004D536A"/>
    <w:rsid w:val="004D65EF"/>
    <w:rsid w:val="004D66C2"/>
    <w:rsid w:val="004D74A0"/>
    <w:rsid w:val="004D7EC1"/>
    <w:rsid w:val="004D7F23"/>
    <w:rsid w:val="004E0078"/>
    <w:rsid w:val="004E0605"/>
    <w:rsid w:val="004E098C"/>
    <w:rsid w:val="004E0FDA"/>
    <w:rsid w:val="004E2C44"/>
    <w:rsid w:val="004E3EA0"/>
    <w:rsid w:val="004E3FFC"/>
    <w:rsid w:val="004E41E0"/>
    <w:rsid w:val="004E474A"/>
    <w:rsid w:val="004E47A2"/>
    <w:rsid w:val="004E4E0B"/>
    <w:rsid w:val="004E74FD"/>
    <w:rsid w:val="004E7BC8"/>
    <w:rsid w:val="004F0059"/>
    <w:rsid w:val="004F00D0"/>
    <w:rsid w:val="004F00EB"/>
    <w:rsid w:val="004F02E3"/>
    <w:rsid w:val="004F1001"/>
    <w:rsid w:val="004F1931"/>
    <w:rsid w:val="004F1F93"/>
    <w:rsid w:val="004F2710"/>
    <w:rsid w:val="004F27B5"/>
    <w:rsid w:val="004F2974"/>
    <w:rsid w:val="004F2D25"/>
    <w:rsid w:val="004F2E8D"/>
    <w:rsid w:val="004F38FA"/>
    <w:rsid w:val="004F3A32"/>
    <w:rsid w:val="004F4430"/>
    <w:rsid w:val="004F4B27"/>
    <w:rsid w:val="004F4BA1"/>
    <w:rsid w:val="004F4F37"/>
    <w:rsid w:val="004F502F"/>
    <w:rsid w:val="004F5187"/>
    <w:rsid w:val="004F5999"/>
    <w:rsid w:val="004F6922"/>
    <w:rsid w:val="004F7798"/>
    <w:rsid w:val="004F79D3"/>
    <w:rsid w:val="004F7C94"/>
    <w:rsid w:val="00500B0D"/>
    <w:rsid w:val="00500C29"/>
    <w:rsid w:val="00501690"/>
    <w:rsid w:val="005019B8"/>
    <w:rsid w:val="00502160"/>
    <w:rsid w:val="00502475"/>
    <w:rsid w:val="005028AB"/>
    <w:rsid w:val="00504D8D"/>
    <w:rsid w:val="005051C3"/>
    <w:rsid w:val="00505A70"/>
    <w:rsid w:val="00505CEE"/>
    <w:rsid w:val="00505D84"/>
    <w:rsid w:val="005060A0"/>
    <w:rsid w:val="005070D9"/>
    <w:rsid w:val="00507595"/>
    <w:rsid w:val="0050799C"/>
    <w:rsid w:val="00507ED0"/>
    <w:rsid w:val="005103CC"/>
    <w:rsid w:val="0051092E"/>
    <w:rsid w:val="00510EF4"/>
    <w:rsid w:val="0051129C"/>
    <w:rsid w:val="00511323"/>
    <w:rsid w:val="00511BF0"/>
    <w:rsid w:val="005125BF"/>
    <w:rsid w:val="005129D0"/>
    <w:rsid w:val="00512B17"/>
    <w:rsid w:val="00513456"/>
    <w:rsid w:val="00513BE7"/>
    <w:rsid w:val="005156E6"/>
    <w:rsid w:val="00516336"/>
    <w:rsid w:val="0051681D"/>
    <w:rsid w:val="0051699A"/>
    <w:rsid w:val="005169A0"/>
    <w:rsid w:val="00516C4F"/>
    <w:rsid w:val="00522131"/>
    <w:rsid w:val="005221EE"/>
    <w:rsid w:val="0052240F"/>
    <w:rsid w:val="00522C8F"/>
    <w:rsid w:val="00523FAA"/>
    <w:rsid w:val="00524275"/>
    <w:rsid w:val="00524298"/>
    <w:rsid w:val="0052484C"/>
    <w:rsid w:val="0052489C"/>
    <w:rsid w:val="00524E1C"/>
    <w:rsid w:val="0052633D"/>
    <w:rsid w:val="00527287"/>
    <w:rsid w:val="00527C79"/>
    <w:rsid w:val="00527E37"/>
    <w:rsid w:val="00530469"/>
    <w:rsid w:val="00531530"/>
    <w:rsid w:val="00531CBF"/>
    <w:rsid w:val="0053213B"/>
    <w:rsid w:val="0053271E"/>
    <w:rsid w:val="0053346F"/>
    <w:rsid w:val="005341CA"/>
    <w:rsid w:val="005343D7"/>
    <w:rsid w:val="00535327"/>
    <w:rsid w:val="00535437"/>
    <w:rsid w:val="00535561"/>
    <w:rsid w:val="0053565E"/>
    <w:rsid w:val="005361BB"/>
    <w:rsid w:val="00536916"/>
    <w:rsid w:val="00536F7D"/>
    <w:rsid w:val="00537523"/>
    <w:rsid w:val="00537676"/>
    <w:rsid w:val="0054030A"/>
    <w:rsid w:val="005411E6"/>
    <w:rsid w:val="0054168E"/>
    <w:rsid w:val="005418E0"/>
    <w:rsid w:val="00542D00"/>
    <w:rsid w:val="00542D06"/>
    <w:rsid w:val="0054359B"/>
    <w:rsid w:val="005440B2"/>
    <w:rsid w:val="005442DF"/>
    <w:rsid w:val="00544F6D"/>
    <w:rsid w:val="00545200"/>
    <w:rsid w:val="00545662"/>
    <w:rsid w:val="005476EC"/>
    <w:rsid w:val="00547BB6"/>
    <w:rsid w:val="00550005"/>
    <w:rsid w:val="00550177"/>
    <w:rsid w:val="005502B1"/>
    <w:rsid w:val="00550832"/>
    <w:rsid w:val="00550D92"/>
    <w:rsid w:val="00551582"/>
    <w:rsid w:val="00552396"/>
    <w:rsid w:val="005524AC"/>
    <w:rsid w:val="00552D80"/>
    <w:rsid w:val="00552E96"/>
    <w:rsid w:val="00552F27"/>
    <w:rsid w:val="0055352F"/>
    <w:rsid w:val="005535AC"/>
    <w:rsid w:val="005538AF"/>
    <w:rsid w:val="005544B0"/>
    <w:rsid w:val="0055489D"/>
    <w:rsid w:val="00555480"/>
    <w:rsid w:val="00555BB7"/>
    <w:rsid w:val="00556A8E"/>
    <w:rsid w:val="00556D6F"/>
    <w:rsid w:val="00557552"/>
    <w:rsid w:val="00557C83"/>
    <w:rsid w:val="005600FE"/>
    <w:rsid w:val="005601D3"/>
    <w:rsid w:val="00560792"/>
    <w:rsid w:val="00560DD9"/>
    <w:rsid w:val="00561039"/>
    <w:rsid w:val="00561556"/>
    <w:rsid w:val="00561FF2"/>
    <w:rsid w:val="005633EA"/>
    <w:rsid w:val="00563D11"/>
    <w:rsid w:val="00564D16"/>
    <w:rsid w:val="00565111"/>
    <w:rsid w:val="0056540A"/>
    <w:rsid w:val="00565CDE"/>
    <w:rsid w:val="0056651C"/>
    <w:rsid w:val="00567DC6"/>
    <w:rsid w:val="005706DB"/>
    <w:rsid w:val="0057093D"/>
    <w:rsid w:val="00571118"/>
    <w:rsid w:val="00571378"/>
    <w:rsid w:val="00571467"/>
    <w:rsid w:val="00571564"/>
    <w:rsid w:val="005715E4"/>
    <w:rsid w:val="00571613"/>
    <w:rsid w:val="00571B83"/>
    <w:rsid w:val="00571BCF"/>
    <w:rsid w:val="00571F09"/>
    <w:rsid w:val="005720A8"/>
    <w:rsid w:val="005722BA"/>
    <w:rsid w:val="00572A35"/>
    <w:rsid w:val="0057323F"/>
    <w:rsid w:val="005752BA"/>
    <w:rsid w:val="005759AD"/>
    <w:rsid w:val="00576213"/>
    <w:rsid w:val="00576281"/>
    <w:rsid w:val="00576424"/>
    <w:rsid w:val="00576BDB"/>
    <w:rsid w:val="00576E68"/>
    <w:rsid w:val="005771B8"/>
    <w:rsid w:val="0057786A"/>
    <w:rsid w:val="005807CA"/>
    <w:rsid w:val="00580917"/>
    <w:rsid w:val="00580D16"/>
    <w:rsid w:val="005810EE"/>
    <w:rsid w:val="0058182C"/>
    <w:rsid w:val="00581A66"/>
    <w:rsid w:val="00583768"/>
    <w:rsid w:val="00583C05"/>
    <w:rsid w:val="00583EAB"/>
    <w:rsid w:val="00584824"/>
    <w:rsid w:val="005856EF"/>
    <w:rsid w:val="0058597D"/>
    <w:rsid w:val="00586217"/>
    <w:rsid w:val="00586E8A"/>
    <w:rsid w:val="00587842"/>
    <w:rsid w:val="00587973"/>
    <w:rsid w:val="005909E9"/>
    <w:rsid w:val="00591342"/>
    <w:rsid w:val="005913AD"/>
    <w:rsid w:val="00591C19"/>
    <w:rsid w:val="0059221A"/>
    <w:rsid w:val="0059278A"/>
    <w:rsid w:val="00592B0D"/>
    <w:rsid w:val="0059329E"/>
    <w:rsid w:val="00593AB0"/>
    <w:rsid w:val="00593AFF"/>
    <w:rsid w:val="0059432F"/>
    <w:rsid w:val="00594D22"/>
    <w:rsid w:val="00594EC1"/>
    <w:rsid w:val="0059506C"/>
    <w:rsid w:val="005952D0"/>
    <w:rsid w:val="00596DD1"/>
    <w:rsid w:val="00597C2F"/>
    <w:rsid w:val="005A0058"/>
    <w:rsid w:val="005A08E9"/>
    <w:rsid w:val="005A0F4F"/>
    <w:rsid w:val="005A10FB"/>
    <w:rsid w:val="005A29B5"/>
    <w:rsid w:val="005A2AEC"/>
    <w:rsid w:val="005A2D30"/>
    <w:rsid w:val="005A3962"/>
    <w:rsid w:val="005A4BD6"/>
    <w:rsid w:val="005A4C51"/>
    <w:rsid w:val="005A4D13"/>
    <w:rsid w:val="005A5231"/>
    <w:rsid w:val="005A599A"/>
    <w:rsid w:val="005A5E6C"/>
    <w:rsid w:val="005A64AA"/>
    <w:rsid w:val="005A65B7"/>
    <w:rsid w:val="005A6E44"/>
    <w:rsid w:val="005A6F6C"/>
    <w:rsid w:val="005A7159"/>
    <w:rsid w:val="005B0820"/>
    <w:rsid w:val="005B1796"/>
    <w:rsid w:val="005B1958"/>
    <w:rsid w:val="005B42BF"/>
    <w:rsid w:val="005B4D7A"/>
    <w:rsid w:val="005B538E"/>
    <w:rsid w:val="005B54F4"/>
    <w:rsid w:val="005B58BE"/>
    <w:rsid w:val="005C059C"/>
    <w:rsid w:val="005C0AFE"/>
    <w:rsid w:val="005C15C5"/>
    <w:rsid w:val="005C1693"/>
    <w:rsid w:val="005C186D"/>
    <w:rsid w:val="005C2288"/>
    <w:rsid w:val="005C23C9"/>
    <w:rsid w:val="005C25FF"/>
    <w:rsid w:val="005C2922"/>
    <w:rsid w:val="005C2C92"/>
    <w:rsid w:val="005C2E34"/>
    <w:rsid w:val="005C3101"/>
    <w:rsid w:val="005C32D1"/>
    <w:rsid w:val="005C3446"/>
    <w:rsid w:val="005C3AED"/>
    <w:rsid w:val="005C3C8C"/>
    <w:rsid w:val="005C48F1"/>
    <w:rsid w:val="005C4B59"/>
    <w:rsid w:val="005C5485"/>
    <w:rsid w:val="005C5752"/>
    <w:rsid w:val="005C5EFF"/>
    <w:rsid w:val="005C5F97"/>
    <w:rsid w:val="005C6A21"/>
    <w:rsid w:val="005C71E8"/>
    <w:rsid w:val="005C7573"/>
    <w:rsid w:val="005C7779"/>
    <w:rsid w:val="005C778B"/>
    <w:rsid w:val="005C77DE"/>
    <w:rsid w:val="005C7B41"/>
    <w:rsid w:val="005C7E86"/>
    <w:rsid w:val="005D0537"/>
    <w:rsid w:val="005D0A11"/>
    <w:rsid w:val="005D0B62"/>
    <w:rsid w:val="005D1A2B"/>
    <w:rsid w:val="005D227A"/>
    <w:rsid w:val="005D2939"/>
    <w:rsid w:val="005D2E5E"/>
    <w:rsid w:val="005D335A"/>
    <w:rsid w:val="005D337C"/>
    <w:rsid w:val="005D34A7"/>
    <w:rsid w:val="005D39D7"/>
    <w:rsid w:val="005D3C98"/>
    <w:rsid w:val="005D4204"/>
    <w:rsid w:val="005D4CE8"/>
    <w:rsid w:val="005D5736"/>
    <w:rsid w:val="005D5897"/>
    <w:rsid w:val="005D5E02"/>
    <w:rsid w:val="005D7AAE"/>
    <w:rsid w:val="005D7FB1"/>
    <w:rsid w:val="005E03E5"/>
    <w:rsid w:val="005E0B3F"/>
    <w:rsid w:val="005E11BD"/>
    <w:rsid w:val="005E2B9E"/>
    <w:rsid w:val="005E3869"/>
    <w:rsid w:val="005E46FB"/>
    <w:rsid w:val="005E5027"/>
    <w:rsid w:val="005E5196"/>
    <w:rsid w:val="005E548B"/>
    <w:rsid w:val="005E54A7"/>
    <w:rsid w:val="005E58BD"/>
    <w:rsid w:val="005E5909"/>
    <w:rsid w:val="005E5CD9"/>
    <w:rsid w:val="005E649F"/>
    <w:rsid w:val="005E7AA1"/>
    <w:rsid w:val="005F0CFF"/>
    <w:rsid w:val="005F22C2"/>
    <w:rsid w:val="005F2432"/>
    <w:rsid w:val="005F243F"/>
    <w:rsid w:val="005F3B4E"/>
    <w:rsid w:val="005F4977"/>
    <w:rsid w:val="005F50A3"/>
    <w:rsid w:val="005F5355"/>
    <w:rsid w:val="005F53B5"/>
    <w:rsid w:val="005F556D"/>
    <w:rsid w:val="005F619E"/>
    <w:rsid w:val="005F6C42"/>
    <w:rsid w:val="005F6F2F"/>
    <w:rsid w:val="005F764F"/>
    <w:rsid w:val="0060051F"/>
    <w:rsid w:val="00601404"/>
    <w:rsid w:val="0060165F"/>
    <w:rsid w:val="00601DD8"/>
    <w:rsid w:val="00602257"/>
    <w:rsid w:val="00602DA6"/>
    <w:rsid w:val="0060338D"/>
    <w:rsid w:val="00604B0D"/>
    <w:rsid w:val="00604FC2"/>
    <w:rsid w:val="00604FF7"/>
    <w:rsid w:val="00605252"/>
    <w:rsid w:val="0060582D"/>
    <w:rsid w:val="00606269"/>
    <w:rsid w:val="006064E2"/>
    <w:rsid w:val="00606A62"/>
    <w:rsid w:val="00606A65"/>
    <w:rsid w:val="0060760F"/>
    <w:rsid w:val="00610844"/>
    <w:rsid w:val="00610A86"/>
    <w:rsid w:val="00610FFD"/>
    <w:rsid w:val="00611101"/>
    <w:rsid w:val="006117E1"/>
    <w:rsid w:val="00611860"/>
    <w:rsid w:val="00612AE6"/>
    <w:rsid w:val="00612C3A"/>
    <w:rsid w:val="00613035"/>
    <w:rsid w:val="00613233"/>
    <w:rsid w:val="0061365D"/>
    <w:rsid w:val="00613D0A"/>
    <w:rsid w:val="00613F8C"/>
    <w:rsid w:val="006148B9"/>
    <w:rsid w:val="0061491D"/>
    <w:rsid w:val="00614A1A"/>
    <w:rsid w:val="00614BFD"/>
    <w:rsid w:val="00614C53"/>
    <w:rsid w:val="00614D39"/>
    <w:rsid w:val="00614EBE"/>
    <w:rsid w:val="006152E4"/>
    <w:rsid w:val="006153BA"/>
    <w:rsid w:val="006156BD"/>
    <w:rsid w:val="0061571A"/>
    <w:rsid w:val="0061634A"/>
    <w:rsid w:val="00617DB2"/>
    <w:rsid w:val="0062056D"/>
    <w:rsid w:val="00620BA5"/>
    <w:rsid w:val="0062166F"/>
    <w:rsid w:val="00621777"/>
    <w:rsid w:val="00621A62"/>
    <w:rsid w:val="00622124"/>
    <w:rsid w:val="00622662"/>
    <w:rsid w:val="00622E46"/>
    <w:rsid w:val="0062392B"/>
    <w:rsid w:val="00624087"/>
    <w:rsid w:val="00624233"/>
    <w:rsid w:val="006249B4"/>
    <w:rsid w:val="006255CA"/>
    <w:rsid w:val="006261A7"/>
    <w:rsid w:val="00626252"/>
    <w:rsid w:val="00630544"/>
    <w:rsid w:val="00630EC0"/>
    <w:rsid w:val="006315F5"/>
    <w:rsid w:val="00631A5E"/>
    <w:rsid w:val="00631BCF"/>
    <w:rsid w:val="0063236B"/>
    <w:rsid w:val="00632533"/>
    <w:rsid w:val="006327F1"/>
    <w:rsid w:val="006328E0"/>
    <w:rsid w:val="006329D6"/>
    <w:rsid w:val="006329E5"/>
    <w:rsid w:val="006331D5"/>
    <w:rsid w:val="006333A1"/>
    <w:rsid w:val="006333D7"/>
    <w:rsid w:val="00633914"/>
    <w:rsid w:val="0063442F"/>
    <w:rsid w:val="0063467F"/>
    <w:rsid w:val="006353F2"/>
    <w:rsid w:val="00636B8A"/>
    <w:rsid w:val="006372F0"/>
    <w:rsid w:val="006379E6"/>
    <w:rsid w:val="00642555"/>
    <w:rsid w:val="00642670"/>
    <w:rsid w:val="00642934"/>
    <w:rsid w:val="0064358E"/>
    <w:rsid w:val="00643897"/>
    <w:rsid w:val="00643CA7"/>
    <w:rsid w:val="0064480A"/>
    <w:rsid w:val="00644AF5"/>
    <w:rsid w:val="00644C43"/>
    <w:rsid w:val="00644DFB"/>
    <w:rsid w:val="0064648E"/>
    <w:rsid w:val="00646DD6"/>
    <w:rsid w:val="0064750E"/>
    <w:rsid w:val="00650373"/>
    <w:rsid w:val="00650E83"/>
    <w:rsid w:val="0065145C"/>
    <w:rsid w:val="00652578"/>
    <w:rsid w:val="0065348F"/>
    <w:rsid w:val="006534CA"/>
    <w:rsid w:val="0065422E"/>
    <w:rsid w:val="00654C59"/>
    <w:rsid w:val="0065582F"/>
    <w:rsid w:val="006558D4"/>
    <w:rsid w:val="00655DDB"/>
    <w:rsid w:val="00656B56"/>
    <w:rsid w:val="00656C23"/>
    <w:rsid w:val="00656D58"/>
    <w:rsid w:val="00656F40"/>
    <w:rsid w:val="00656F6A"/>
    <w:rsid w:val="00657720"/>
    <w:rsid w:val="00660612"/>
    <w:rsid w:val="006619F6"/>
    <w:rsid w:val="00661DA7"/>
    <w:rsid w:val="006624D7"/>
    <w:rsid w:val="00662829"/>
    <w:rsid w:val="0066294B"/>
    <w:rsid w:val="00662A14"/>
    <w:rsid w:val="00662D8D"/>
    <w:rsid w:val="00663D82"/>
    <w:rsid w:val="00664625"/>
    <w:rsid w:val="00665146"/>
    <w:rsid w:val="006651C7"/>
    <w:rsid w:val="006653EE"/>
    <w:rsid w:val="00665DC9"/>
    <w:rsid w:val="006668E4"/>
    <w:rsid w:val="006674E0"/>
    <w:rsid w:val="00670288"/>
    <w:rsid w:val="0067091D"/>
    <w:rsid w:val="00670B23"/>
    <w:rsid w:val="006722C3"/>
    <w:rsid w:val="00672EAC"/>
    <w:rsid w:val="0067394E"/>
    <w:rsid w:val="0067403A"/>
    <w:rsid w:val="00674189"/>
    <w:rsid w:val="00675739"/>
    <w:rsid w:val="00675992"/>
    <w:rsid w:val="006759A4"/>
    <w:rsid w:val="006765DF"/>
    <w:rsid w:val="00676A3A"/>
    <w:rsid w:val="00676ED6"/>
    <w:rsid w:val="00676FE9"/>
    <w:rsid w:val="00677B90"/>
    <w:rsid w:val="006803A6"/>
    <w:rsid w:val="00680C39"/>
    <w:rsid w:val="006811D5"/>
    <w:rsid w:val="006811F2"/>
    <w:rsid w:val="00681B58"/>
    <w:rsid w:val="00682257"/>
    <w:rsid w:val="00682F90"/>
    <w:rsid w:val="00683E68"/>
    <w:rsid w:val="00684CE7"/>
    <w:rsid w:val="006850C7"/>
    <w:rsid w:val="00685397"/>
    <w:rsid w:val="00685432"/>
    <w:rsid w:val="00685AFD"/>
    <w:rsid w:val="00685EB7"/>
    <w:rsid w:val="00686C29"/>
    <w:rsid w:val="006871F1"/>
    <w:rsid w:val="00687A9C"/>
    <w:rsid w:val="00691613"/>
    <w:rsid w:val="006927EB"/>
    <w:rsid w:val="00692B83"/>
    <w:rsid w:val="00692CD0"/>
    <w:rsid w:val="00692F21"/>
    <w:rsid w:val="00693342"/>
    <w:rsid w:val="00693399"/>
    <w:rsid w:val="0069371B"/>
    <w:rsid w:val="00693B47"/>
    <w:rsid w:val="00693E8A"/>
    <w:rsid w:val="00693F9B"/>
    <w:rsid w:val="0069425C"/>
    <w:rsid w:val="00694916"/>
    <w:rsid w:val="006951B6"/>
    <w:rsid w:val="006952B3"/>
    <w:rsid w:val="00695772"/>
    <w:rsid w:val="006957C5"/>
    <w:rsid w:val="0069630A"/>
    <w:rsid w:val="006966C1"/>
    <w:rsid w:val="006968FD"/>
    <w:rsid w:val="0069706D"/>
    <w:rsid w:val="006972AE"/>
    <w:rsid w:val="00697D5D"/>
    <w:rsid w:val="00697F1F"/>
    <w:rsid w:val="006A0D35"/>
    <w:rsid w:val="006A0ECB"/>
    <w:rsid w:val="006A10D2"/>
    <w:rsid w:val="006A2545"/>
    <w:rsid w:val="006A2A88"/>
    <w:rsid w:val="006A32F0"/>
    <w:rsid w:val="006A4D2D"/>
    <w:rsid w:val="006A5805"/>
    <w:rsid w:val="006A6221"/>
    <w:rsid w:val="006A6559"/>
    <w:rsid w:val="006B067A"/>
    <w:rsid w:val="006B0A73"/>
    <w:rsid w:val="006B180C"/>
    <w:rsid w:val="006B1D08"/>
    <w:rsid w:val="006B1DF2"/>
    <w:rsid w:val="006B33E5"/>
    <w:rsid w:val="006B3EB1"/>
    <w:rsid w:val="006B4280"/>
    <w:rsid w:val="006B5017"/>
    <w:rsid w:val="006B5962"/>
    <w:rsid w:val="006B5B9A"/>
    <w:rsid w:val="006B6A28"/>
    <w:rsid w:val="006B7328"/>
    <w:rsid w:val="006B7B8B"/>
    <w:rsid w:val="006B7D49"/>
    <w:rsid w:val="006C0879"/>
    <w:rsid w:val="006C0E79"/>
    <w:rsid w:val="006C132F"/>
    <w:rsid w:val="006C13CA"/>
    <w:rsid w:val="006C14F8"/>
    <w:rsid w:val="006C18AC"/>
    <w:rsid w:val="006C1B36"/>
    <w:rsid w:val="006C2A87"/>
    <w:rsid w:val="006C2F20"/>
    <w:rsid w:val="006C3DD1"/>
    <w:rsid w:val="006C40B9"/>
    <w:rsid w:val="006C4FD6"/>
    <w:rsid w:val="006C72E2"/>
    <w:rsid w:val="006C75F3"/>
    <w:rsid w:val="006C7A05"/>
    <w:rsid w:val="006C7DD2"/>
    <w:rsid w:val="006D0043"/>
    <w:rsid w:val="006D0F1B"/>
    <w:rsid w:val="006D1089"/>
    <w:rsid w:val="006D1376"/>
    <w:rsid w:val="006D191D"/>
    <w:rsid w:val="006D294F"/>
    <w:rsid w:val="006D2BB0"/>
    <w:rsid w:val="006D450A"/>
    <w:rsid w:val="006D4E1F"/>
    <w:rsid w:val="006D51DA"/>
    <w:rsid w:val="006D53D5"/>
    <w:rsid w:val="006D5550"/>
    <w:rsid w:val="006D5ABA"/>
    <w:rsid w:val="006D6215"/>
    <w:rsid w:val="006D6E11"/>
    <w:rsid w:val="006D70CB"/>
    <w:rsid w:val="006D70E8"/>
    <w:rsid w:val="006D7846"/>
    <w:rsid w:val="006D7AA7"/>
    <w:rsid w:val="006D7BE4"/>
    <w:rsid w:val="006E0780"/>
    <w:rsid w:val="006E0E86"/>
    <w:rsid w:val="006E1278"/>
    <w:rsid w:val="006E160E"/>
    <w:rsid w:val="006E18A7"/>
    <w:rsid w:val="006E1A5C"/>
    <w:rsid w:val="006E1E27"/>
    <w:rsid w:val="006E25D3"/>
    <w:rsid w:val="006E279D"/>
    <w:rsid w:val="006E2B69"/>
    <w:rsid w:val="006E2E9D"/>
    <w:rsid w:val="006E3239"/>
    <w:rsid w:val="006E3447"/>
    <w:rsid w:val="006E393C"/>
    <w:rsid w:val="006E3E80"/>
    <w:rsid w:val="006E3F77"/>
    <w:rsid w:val="006E42E6"/>
    <w:rsid w:val="006E4D55"/>
    <w:rsid w:val="006E50F2"/>
    <w:rsid w:val="006E543B"/>
    <w:rsid w:val="006E6005"/>
    <w:rsid w:val="006E60DF"/>
    <w:rsid w:val="006E63B5"/>
    <w:rsid w:val="006E693E"/>
    <w:rsid w:val="006E6B62"/>
    <w:rsid w:val="006E6CF4"/>
    <w:rsid w:val="006E7051"/>
    <w:rsid w:val="006E715A"/>
    <w:rsid w:val="006F035E"/>
    <w:rsid w:val="006F0853"/>
    <w:rsid w:val="006F1EB4"/>
    <w:rsid w:val="006F1F9B"/>
    <w:rsid w:val="006F2621"/>
    <w:rsid w:val="006F2972"/>
    <w:rsid w:val="006F29E1"/>
    <w:rsid w:val="006F2AAE"/>
    <w:rsid w:val="006F3FC1"/>
    <w:rsid w:val="006F420B"/>
    <w:rsid w:val="006F4350"/>
    <w:rsid w:val="006F473C"/>
    <w:rsid w:val="006F4B2B"/>
    <w:rsid w:val="006F5119"/>
    <w:rsid w:val="006F5C5C"/>
    <w:rsid w:val="006F5CB6"/>
    <w:rsid w:val="006F68B2"/>
    <w:rsid w:val="006F7FA0"/>
    <w:rsid w:val="0070015D"/>
    <w:rsid w:val="00701384"/>
    <w:rsid w:val="007019E6"/>
    <w:rsid w:val="00701E0F"/>
    <w:rsid w:val="00702D5F"/>
    <w:rsid w:val="007038D5"/>
    <w:rsid w:val="00703FF8"/>
    <w:rsid w:val="00704B81"/>
    <w:rsid w:val="00704F71"/>
    <w:rsid w:val="007052DC"/>
    <w:rsid w:val="00705B30"/>
    <w:rsid w:val="00705D34"/>
    <w:rsid w:val="00706A67"/>
    <w:rsid w:val="007075A0"/>
    <w:rsid w:val="00707B03"/>
    <w:rsid w:val="00707BFA"/>
    <w:rsid w:val="007107F5"/>
    <w:rsid w:val="0071099B"/>
    <w:rsid w:val="00711915"/>
    <w:rsid w:val="00711D77"/>
    <w:rsid w:val="00712291"/>
    <w:rsid w:val="007123BF"/>
    <w:rsid w:val="00712417"/>
    <w:rsid w:val="00712D5F"/>
    <w:rsid w:val="007133A2"/>
    <w:rsid w:val="00713804"/>
    <w:rsid w:val="00713F33"/>
    <w:rsid w:val="0071449A"/>
    <w:rsid w:val="00715CE9"/>
    <w:rsid w:val="00715FF4"/>
    <w:rsid w:val="00716893"/>
    <w:rsid w:val="007168E2"/>
    <w:rsid w:val="007178E5"/>
    <w:rsid w:val="00720216"/>
    <w:rsid w:val="00720E4D"/>
    <w:rsid w:val="00720ECE"/>
    <w:rsid w:val="007214C9"/>
    <w:rsid w:val="00722873"/>
    <w:rsid w:val="007229A5"/>
    <w:rsid w:val="00722BB3"/>
    <w:rsid w:val="00723055"/>
    <w:rsid w:val="007237DC"/>
    <w:rsid w:val="00723ED4"/>
    <w:rsid w:val="00725378"/>
    <w:rsid w:val="007257FD"/>
    <w:rsid w:val="00725847"/>
    <w:rsid w:val="00725A4F"/>
    <w:rsid w:val="007263FC"/>
    <w:rsid w:val="007264E6"/>
    <w:rsid w:val="0072674C"/>
    <w:rsid w:val="007267D3"/>
    <w:rsid w:val="00726B00"/>
    <w:rsid w:val="0073010E"/>
    <w:rsid w:val="007303B0"/>
    <w:rsid w:val="007308C5"/>
    <w:rsid w:val="0073123C"/>
    <w:rsid w:val="007324BD"/>
    <w:rsid w:val="00732609"/>
    <w:rsid w:val="0073265C"/>
    <w:rsid w:val="00732825"/>
    <w:rsid w:val="0073475A"/>
    <w:rsid w:val="00734D08"/>
    <w:rsid w:val="00734DDD"/>
    <w:rsid w:val="0073515F"/>
    <w:rsid w:val="00735E4E"/>
    <w:rsid w:val="00736275"/>
    <w:rsid w:val="007368F8"/>
    <w:rsid w:val="00736C30"/>
    <w:rsid w:val="00736F7D"/>
    <w:rsid w:val="00736FBA"/>
    <w:rsid w:val="007377BA"/>
    <w:rsid w:val="007413CB"/>
    <w:rsid w:val="007419EE"/>
    <w:rsid w:val="00741A60"/>
    <w:rsid w:val="0074262F"/>
    <w:rsid w:val="00742948"/>
    <w:rsid w:val="00742988"/>
    <w:rsid w:val="0074467B"/>
    <w:rsid w:val="00744803"/>
    <w:rsid w:val="00744E03"/>
    <w:rsid w:val="00745138"/>
    <w:rsid w:val="0074526B"/>
    <w:rsid w:val="00745D29"/>
    <w:rsid w:val="00746495"/>
    <w:rsid w:val="00746B4D"/>
    <w:rsid w:val="00747CFB"/>
    <w:rsid w:val="007503A2"/>
    <w:rsid w:val="007507FA"/>
    <w:rsid w:val="00750AAA"/>
    <w:rsid w:val="00750AF2"/>
    <w:rsid w:val="00752CCF"/>
    <w:rsid w:val="007535EF"/>
    <w:rsid w:val="007537BB"/>
    <w:rsid w:val="007539E5"/>
    <w:rsid w:val="007540B9"/>
    <w:rsid w:val="00754574"/>
    <w:rsid w:val="007553EF"/>
    <w:rsid w:val="00756462"/>
    <w:rsid w:val="00756D5F"/>
    <w:rsid w:val="00757A1D"/>
    <w:rsid w:val="0076040E"/>
    <w:rsid w:val="00761076"/>
    <w:rsid w:val="00761113"/>
    <w:rsid w:val="00761276"/>
    <w:rsid w:val="00762427"/>
    <w:rsid w:val="00763008"/>
    <w:rsid w:val="00763546"/>
    <w:rsid w:val="00763981"/>
    <w:rsid w:val="00763F24"/>
    <w:rsid w:val="0076414B"/>
    <w:rsid w:val="00764488"/>
    <w:rsid w:val="007648F1"/>
    <w:rsid w:val="00764CDC"/>
    <w:rsid w:val="00765247"/>
    <w:rsid w:val="00765321"/>
    <w:rsid w:val="00765DE0"/>
    <w:rsid w:val="0076673E"/>
    <w:rsid w:val="00766992"/>
    <w:rsid w:val="00766CDF"/>
    <w:rsid w:val="00767E14"/>
    <w:rsid w:val="007708EB"/>
    <w:rsid w:val="00770BB6"/>
    <w:rsid w:val="007720C7"/>
    <w:rsid w:val="007722EB"/>
    <w:rsid w:val="00772526"/>
    <w:rsid w:val="007725F8"/>
    <w:rsid w:val="00772CC5"/>
    <w:rsid w:val="00772D03"/>
    <w:rsid w:val="00773CA5"/>
    <w:rsid w:val="0077560A"/>
    <w:rsid w:val="0077639B"/>
    <w:rsid w:val="007770AC"/>
    <w:rsid w:val="00777158"/>
    <w:rsid w:val="00777479"/>
    <w:rsid w:val="00780085"/>
    <w:rsid w:val="0078034B"/>
    <w:rsid w:val="007804AB"/>
    <w:rsid w:val="007807D5"/>
    <w:rsid w:val="00781C12"/>
    <w:rsid w:val="00782225"/>
    <w:rsid w:val="00783C0B"/>
    <w:rsid w:val="0078479D"/>
    <w:rsid w:val="007849FE"/>
    <w:rsid w:val="00784AB9"/>
    <w:rsid w:val="0078559A"/>
    <w:rsid w:val="0078565A"/>
    <w:rsid w:val="00785799"/>
    <w:rsid w:val="007858AE"/>
    <w:rsid w:val="00786282"/>
    <w:rsid w:val="0078665A"/>
    <w:rsid w:val="00786928"/>
    <w:rsid w:val="00787C25"/>
    <w:rsid w:val="00790EFD"/>
    <w:rsid w:val="007928BA"/>
    <w:rsid w:val="00793055"/>
    <w:rsid w:val="00793287"/>
    <w:rsid w:val="007935C5"/>
    <w:rsid w:val="00793873"/>
    <w:rsid w:val="00793974"/>
    <w:rsid w:val="007942E9"/>
    <w:rsid w:val="00794397"/>
    <w:rsid w:val="0079481B"/>
    <w:rsid w:val="007956A1"/>
    <w:rsid w:val="00795B45"/>
    <w:rsid w:val="00795B69"/>
    <w:rsid w:val="00796008"/>
    <w:rsid w:val="007962ED"/>
    <w:rsid w:val="0079633E"/>
    <w:rsid w:val="00796B74"/>
    <w:rsid w:val="00797B98"/>
    <w:rsid w:val="007A004C"/>
    <w:rsid w:val="007A0109"/>
    <w:rsid w:val="007A07B4"/>
    <w:rsid w:val="007A07C2"/>
    <w:rsid w:val="007A0E2B"/>
    <w:rsid w:val="007A2A64"/>
    <w:rsid w:val="007A2AD1"/>
    <w:rsid w:val="007A2D9D"/>
    <w:rsid w:val="007A30F9"/>
    <w:rsid w:val="007A4114"/>
    <w:rsid w:val="007A473D"/>
    <w:rsid w:val="007A537A"/>
    <w:rsid w:val="007A5640"/>
    <w:rsid w:val="007A5716"/>
    <w:rsid w:val="007A5BD3"/>
    <w:rsid w:val="007A6B46"/>
    <w:rsid w:val="007A6F87"/>
    <w:rsid w:val="007B06EA"/>
    <w:rsid w:val="007B0F07"/>
    <w:rsid w:val="007B1B4D"/>
    <w:rsid w:val="007B24A4"/>
    <w:rsid w:val="007B286B"/>
    <w:rsid w:val="007B2AD4"/>
    <w:rsid w:val="007B2E2C"/>
    <w:rsid w:val="007B3271"/>
    <w:rsid w:val="007B353E"/>
    <w:rsid w:val="007B3788"/>
    <w:rsid w:val="007B5103"/>
    <w:rsid w:val="007B56BA"/>
    <w:rsid w:val="007B56EC"/>
    <w:rsid w:val="007B5B33"/>
    <w:rsid w:val="007B5B64"/>
    <w:rsid w:val="007B5EDF"/>
    <w:rsid w:val="007B68A2"/>
    <w:rsid w:val="007B6AD5"/>
    <w:rsid w:val="007C0A90"/>
    <w:rsid w:val="007C1706"/>
    <w:rsid w:val="007C1D66"/>
    <w:rsid w:val="007C1E00"/>
    <w:rsid w:val="007C2FCB"/>
    <w:rsid w:val="007C429E"/>
    <w:rsid w:val="007C48D2"/>
    <w:rsid w:val="007C5566"/>
    <w:rsid w:val="007C5B00"/>
    <w:rsid w:val="007D0C00"/>
    <w:rsid w:val="007D1048"/>
    <w:rsid w:val="007D1909"/>
    <w:rsid w:val="007D196A"/>
    <w:rsid w:val="007D2F34"/>
    <w:rsid w:val="007D34FD"/>
    <w:rsid w:val="007D4BA4"/>
    <w:rsid w:val="007D4C21"/>
    <w:rsid w:val="007D5081"/>
    <w:rsid w:val="007D532D"/>
    <w:rsid w:val="007D53E3"/>
    <w:rsid w:val="007D59D5"/>
    <w:rsid w:val="007D6812"/>
    <w:rsid w:val="007D6C6B"/>
    <w:rsid w:val="007D7332"/>
    <w:rsid w:val="007D74C9"/>
    <w:rsid w:val="007D7508"/>
    <w:rsid w:val="007D77FC"/>
    <w:rsid w:val="007E0355"/>
    <w:rsid w:val="007E06E1"/>
    <w:rsid w:val="007E0DF6"/>
    <w:rsid w:val="007E0E94"/>
    <w:rsid w:val="007E20BE"/>
    <w:rsid w:val="007E2E57"/>
    <w:rsid w:val="007E34BD"/>
    <w:rsid w:val="007E37D6"/>
    <w:rsid w:val="007E4235"/>
    <w:rsid w:val="007E42B6"/>
    <w:rsid w:val="007E4701"/>
    <w:rsid w:val="007E514F"/>
    <w:rsid w:val="007E57E6"/>
    <w:rsid w:val="007E7521"/>
    <w:rsid w:val="007E78D7"/>
    <w:rsid w:val="007F0EFE"/>
    <w:rsid w:val="007F0F16"/>
    <w:rsid w:val="007F1F9D"/>
    <w:rsid w:val="007F35E9"/>
    <w:rsid w:val="007F3CC4"/>
    <w:rsid w:val="007F4CD0"/>
    <w:rsid w:val="007F521F"/>
    <w:rsid w:val="007F5459"/>
    <w:rsid w:val="007F5EF5"/>
    <w:rsid w:val="007F6034"/>
    <w:rsid w:val="007F641D"/>
    <w:rsid w:val="007F6756"/>
    <w:rsid w:val="007F69A0"/>
    <w:rsid w:val="007F7117"/>
    <w:rsid w:val="007F7468"/>
    <w:rsid w:val="007F78E4"/>
    <w:rsid w:val="007F7CD5"/>
    <w:rsid w:val="0080005D"/>
    <w:rsid w:val="0080154E"/>
    <w:rsid w:val="008021CD"/>
    <w:rsid w:val="00802AD0"/>
    <w:rsid w:val="0080329A"/>
    <w:rsid w:val="008047D3"/>
    <w:rsid w:val="008052B4"/>
    <w:rsid w:val="008055A6"/>
    <w:rsid w:val="00806058"/>
    <w:rsid w:val="00806BEF"/>
    <w:rsid w:val="00807214"/>
    <w:rsid w:val="00807658"/>
    <w:rsid w:val="00807972"/>
    <w:rsid w:val="0081092F"/>
    <w:rsid w:val="0081123B"/>
    <w:rsid w:val="0081125E"/>
    <w:rsid w:val="008114FF"/>
    <w:rsid w:val="008118DE"/>
    <w:rsid w:val="00811C72"/>
    <w:rsid w:val="008121F0"/>
    <w:rsid w:val="00812673"/>
    <w:rsid w:val="008128C1"/>
    <w:rsid w:val="00812C8D"/>
    <w:rsid w:val="00813D0B"/>
    <w:rsid w:val="00813FC8"/>
    <w:rsid w:val="00814117"/>
    <w:rsid w:val="00814243"/>
    <w:rsid w:val="008143DC"/>
    <w:rsid w:val="00814BEB"/>
    <w:rsid w:val="00815413"/>
    <w:rsid w:val="00815C60"/>
    <w:rsid w:val="008162B1"/>
    <w:rsid w:val="00816503"/>
    <w:rsid w:val="00816B4F"/>
    <w:rsid w:val="00816FB2"/>
    <w:rsid w:val="008206BE"/>
    <w:rsid w:val="00820910"/>
    <w:rsid w:val="00820D34"/>
    <w:rsid w:val="008218C1"/>
    <w:rsid w:val="0082332D"/>
    <w:rsid w:val="00823682"/>
    <w:rsid w:val="00823915"/>
    <w:rsid w:val="00824050"/>
    <w:rsid w:val="00824424"/>
    <w:rsid w:val="008244D8"/>
    <w:rsid w:val="00824F72"/>
    <w:rsid w:val="00824F76"/>
    <w:rsid w:val="008250F5"/>
    <w:rsid w:val="008256E9"/>
    <w:rsid w:val="00825A4C"/>
    <w:rsid w:val="00825B32"/>
    <w:rsid w:val="00825C53"/>
    <w:rsid w:val="00825E90"/>
    <w:rsid w:val="00825FFE"/>
    <w:rsid w:val="00826532"/>
    <w:rsid w:val="00826F2D"/>
    <w:rsid w:val="00830531"/>
    <w:rsid w:val="00830611"/>
    <w:rsid w:val="008306C6"/>
    <w:rsid w:val="008315F4"/>
    <w:rsid w:val="008317A3"/>
    <w:rsid w:val="00831E13"/>
    <w:rsid w:val="0083339A"/>
    <w:rsid w:val="00833F85"/>
    <w:rsid w:val="00834574"/>
    <w:rsid w:val="00834F89"/>
    <w:rsid w:val="00834FA5"/>
    <w:rsid w:val="0083559D"/>
    <w:rsid w:val="0083609C"/>
    <w:rsid w:val="008363D7"/>
    <w:rsid w:val="0083664E"/>
    <w:rsid w:val="00837A78"/>
    <w:rsid w:val="00841D69"/>
    <w:rsid w:val="00842E5B"/>
    <w:rsid w:val="00843263"/>
    <w:rsid w:val="00844AD0"/>
    <w:rsid w:val="00845DE2"/>
    <w:rsid w:val="008462FA"/>
    <w:rsid w:val="00846330"/>
    <w:rsid w:val="00846C13"/>
    <w:rsid w:val="008470C2"/>
    <w:rsid w:val="0084744F"/>
    <w:rsid w:val="008474C6"/>
    <w:rsid w:val="0085016C"/>
    <w:rsid w:val="0085040A"/>
    <w:rsid w:val="00850A5E"/>
    <w:rsid w:val="00850E63"/>
    <w:rsid w:val="00851837"/>
    <w:rsid w:val="00851B8B"/>
    <w:rsid w:val="00852291"/>
    <w:rsid w:val="0085248A"/>
    <w:rsid w:val="00852C79"/>
    <w:rsid w:val="00853E77"/>
    <w:rsid w:val="008540B0"/>
    <w:rsid w:val="00854B30"/>
    <w:rsid w:val="00855084"/>
    <w:rsid w:val="008552C6"/>
    <w:rsid w:val="008554DA"/>
    <w:rsid w:val="008557E2"/>
    <w:rsid w:val="00855B0F"/>
    <w:rsid w:val="00855EBF"/>
    <w:rsid w:val="00855EE0"/>
    <w:rsid w:val="0085652C"/>
    <w:rsid w:val="008565BF"/>
    <w:rsid w:val="0085670D"/>
    <w:rsid w:val="00856A3C"/>
    <w:rsid w:val="00856ACC"/>
    <w:rsid w:val="00856ADB"/>
    <w:rsid w:val="008577B3"/>
    <w:rsid w:val="00857934"/>
    <w:rsid w:val="0086034E"/>
    <w:rsid w:val="00861093"/>
    <w:rsid w:val="008611A4"/>
    <w:rsid w:val="0086221B"/>
    <w:rsid w:val="008623BD"/>
    <w:rsid w:val="00863220"/>
    <w:rsid w:val="008636D1"/>
    <w:rsid w:val="0086383E"/>
    <w:rsid w:val="00863898"/>
    <w:rsid w:val="00863936"/>
    <w:rsid w:val="008644C2"/>
    <w:rsid w:val="00865667"/>
    <w:rsid w:val="00865DF6"/>
    <w:rsid w:val="00865E90"/>
    <w:rsid w:val="00865ECF"/>
    <w:rsid w:val="00865FFB"/>
    <w:rsid w:val="00866CE1"/>
    <w:rsid w:val="00867C1C"/>
    <w:rsid w:val="008702AF"/>
    <w:rsid w:val="00870A53"/>
    <w:rsid w:val="00870E28"/>
    <w:rsid w:val="00870E73"/>
    <w:rsid w:val="008716F1"/>
    <w:rsid w:val="00872492"/>
    <w:rsid w:val="00872612"/>
    <w:rsid w:val="0087267C"/>
    <w:rsid w:val="00872917"/>
    <w:rsid w:val="008738B5"/>
    <w:rsid w:val="00874085"/>
    <w:rsid w:val="0087596A"/>
    <w:rsid w:val="00875D02"/>
    <w:rsid w:val="0087668F"/>
    <w:rsid w:val="008767CD"/>
    <w:rsid w:val="00876E72"/>
    <w:rsid w:val="008773A2"/>
    <w:rsid w:val="008775B7"/>
    <w:rsid w:val="0087761F"/>
    <w:rsid w:val="00877F55"/>
    <w:rsid w:val="00880318"/>
    <w:rsid w:val="00880A41"/>
    <w:rsid w:val="00880EB9"/>
    <w:rsid w:val="00881196"/>
    <w:rsid w:val="00881EC5"/>
    <w:rsid w:val="00882945"/>
    <w:rsid w:val="00882AAB"/>
    <w:rsid w:val="00882B52"/>
    <w:rsid w:val="008835CD"/>
    <w:rsid w:val="00884262"/>
    <w:rsid w:val="008847EB"/>
    <w:rsid w:val="00884B89"/>
    <w:rsid w:val="00884CC8"/>
    <w:rsid w:val="00886CC7"/>
    <w:rsid w:val="0088757A"/>
    <w:rsid w:val="00887B4E"/>
    <w:rsid w:val="00887D17"/>
    <w:rsid w:val="00890EE5"/>
    <w:rsid w:val="008912B0"/>
    <w:rsid w:val="008923FA"/>
    <w:rsid w:val="008924E6"/>
    <w:rsid w:val="008924F0"/>
    <w:rsid w:val="00893660"/>
    <w:rsid w:val="0089367C"/>
    <w:rsid w:val="00893D40"/>
    <w:rsid w:val="008940B9"/>
    <w:rsid w:val="008942B0"/>
    <w:rsid w:val="008957D2"/>
    <w:rsid w:val="0089613B"/>
    <w:rsid w:val="00896EF8"/>
    <w:rsid w:val="0089709B"/>
    <w:rsid w:val="008977F0"/>
    <w:rsid w:val="0089793B"/>
    <w:rsid w:val="00897A17"/>
    <w:rsid w:val="00897B4B"/>
    <w:rsid w:val="00897EE5"/>
    <w:rsid w:val="008A0AFC"/>
    <w:rsid w:val="008A0D89"/>
    <w:rsid w:val="008A12DB"/>
    <w:rsid w:val="008A13B5"/>
    <w:rsid w:val="008A233C"/>
    <w:rsid w:val="008A2CA7"/>
    <w:rsid w:val="008A33B4"/>
    <w:rsid w:val="008A3526"/>
    <w:rsid w:val="008A353E"/>
    <w:rsid w:val="008A39B6"/>
    <w:rsid w:val="008A3AD2"/>
    <w:rsid w:val="008A3ECC"/>
    <w:rsid w:val="008A41EC"/>
    <w:rsid w:val="008A456F"/>
    <w:rsid w:val="008A4F58"/>
    <w:rsid w:val="008A56EF"/>
    <w:rsid w:val="008A570F"/>
    <w:rsid w:val="008A597F"/>
    <w:rsid w:val="008A6628"/>
    <w:rsid w:val="008A6C2E"/>
    <w:rsid w:val="008A76CC"/>
    <w:rsid w:val="008A781C"/>
    <w:rsid w:val="008B1AB3"/>
    <w:rsid w:val="008B25C8"/>
    <w:rsid w:val="008B4355"/>
    <w:rsid w:val="008B478B"/>
    <w:rsid w:val="008B494E"/>
    <w:rsid w:val="008B5065"/>
    <w:rsid w:val="008B50AA"/>
    <w:rsid w:val="008B58FA"/>
    <w:rsid w:val="008B6814"/>
    <w:rsid w:val="008B6EEF"/>
    <w:rsid w:val="008B71F9"/>
    <w:rsid w:val="008B79BB"/>
    <w:rsid w:val="008B79FD"/>
    <w:rsid w:val="008C07B2"/>
    <w:rsid w:val="008C1079"/>
    <w:rsid w:val="008C1703"/>
    <w:rsid w:val="008C2017"/>
    <w:rsid w:val="008C2231"/>
    <w:rsid w:val="008C2630"/>
    <w:rsid w:val="008C2651"/>
    <w:rsid w:val="008C26BC"/>
    <w:rsid w:val="008C3380"/>
    <w:rsid w:val="008C3ACF"/>
    <w:rsid w:val="008C3E3E"/>
    <w:rsid w:val="008C53D9"/>
    <w:rsid w:val="008C56F5"/>
    <w:rsid w:val="008C5CC8"/>
    <w:rsid w:val="008C5F14"/>
    <w:rsid w:val="008C62E4"/>
    <w:rsid w:val="008C76F7"/>
    <w:rsid w:val="008C7E86"/>
    <w:rsid w:val="008D110E"/>
    <w:rsid w:val="008D1382"/>
    <w:rsid w:val="008D1710"/>
    <w:rsid w:val="008D1E8A"/>
    <w:rsid w:val="008D2116"/>
    <w:rsid w:val="008D2375"/>
    <w:rsid w:val="008D23EF"/>
    <w:rsid w:val="008D258C"/>
    <w:rsid w:val="008D281C"/>
    <w:rsid w:val="008D35A8"/>
    <w:rsid w:val="008D3E1E"/>
    <w:rsid w:val="008D4CC9"/>
    <w:rsid w:val="008D528B"/>
    <w:rsid w:val="008D5735"/>
    <w:rsid w:val="008D5BF2"/>
    <w:rsid w:val="008D609A"/>
    <w:rsid w:val="008D60EC"/>
    <w:rsid w:val="008D62DC"/>
    <w:rsid w:val="008D68CD"/>
    <w:rsid w:val="008D6AAF"/>
    <w:rsid w:val="008D6E19"/>
    <w:rsid w:val="008D7D82"/>
    <w:rsid w:val="008E03BC"/>
    <w:rsid w:val="008E13A1"/>
    <w:rsid w:val="008E1732"/>
    <w:rsid w:val="008E2454"/>
    <w:rsid w:val="008E2835"/>
    <w:rsid w:val="008E2E6C"/>
    <w:rsid w:val="008E2EA3"/>
    <w:rsid w:val="008E3C31"/>
    <w:rsid w:val="008E3D9E"/>
    <w:rsid w:val="008E6007"/>
    <w:rsid w:val="008E6CAB"/>
    <w:rsid w:val="008E6E24"/>
    <w:rsid w:val="008E7FCB"/>
    <w:rsid w:val="008F1331"/>
    <w:rsid w:val="008F1BEB"/>
    <w:rsid w:val="008F28BD"/>
    <w:rsid w:val="008F4190"/>
    <w:rsid w:val="008F5237"/>
    <w:rsid w:val="008F58CE"/>
    <w:rsid w:val="008F5922"/>
    <w:rsid w:val="008F6486"/>
    <w:rsid w:val="008F70DC"/>
    <w:rsid w:val="008F786F"/>
    <w:rsid w:val="008F7F79"/>
    <w:rsid w:val="0090009B"/>
    <w:rsid w:val="00900F67"/>
    <w:rsid w:val="00901AB0"/>
    <w:rsid w:val="0090277C"/>
    <w:rsid w:val="00902E4A"/>
    <w:rsid w:val="009032CB"/>
    <w:rsid w:val="00903C98"/>
    <w:rsid w:val="00904240"/>
    <w:rsid w:val="0090466C"/>
    <w:rsid w:val="0090469C"/>
    <w:rsid w:val="00904892"/>
    <w:rsid w:val="00905008"/>
    <w:rsid w:val="00905B1D"/>
    <w:rsid w:val="00905C60"/>
    <w:rsid w:val="009061FB"/>
    <w:rsid w:val="00906CC9"/>
    <w:rsid w:val="00906EFE"/>
    <w:rsid w:val="009076FB"/>
    <w:rsid w:val="0090776C"/>
    <w:rsid w:val="00907855"/>
    <w:rsid w:val="00912741"/>
    <w:rsid w:val="00912FAD"/>
    <w:rsid w:val="00913554"/>
    <w:rsid w:val="009135BC"/>
    <w:rsid w:val="009136E3"/>
    <w:rsid w:val="0091467B"/>
    <w:rsid w:val="00915252"/>
    <w:rsid w:val="00915A08"/>
    <w:rsid w:val="00915A90"/>
    <w:rsid w:val="00916263"/>
    <w:rsid w:val="009167F4"/>
    <w:rsid w:val="00916A96"/>
    <w:rsid w:val="00917166"/>
    <w:rsid w:val="0091720D"/>
    <w:rsid w:val="009200C9"/>
    <w:rsid w:val="009208FA"/>
    <w:rsid w:val="00920C1F"/>
    <w:rsid w:val="009229E2"/>
    <w:rsid w:val="00922C88"/>
    <w:rsid w:val="00922D56"/>
    <w:rsid w:val="00923545"/>
    <w:rsid w:val="0092366E"/>
    <w:rsid w:val="00923769"/>
    <w:rsid w:val="00923BCE"/>
    <w:rsid w:val="00923D52"/>
    <w:rsid w:val="00923EB5"/>
    <w:rsid w:val="00924F5E"/>
    <w:rsid w:val="009250A4"/>
    <w:rsid w:val="00925E36"/>
    <w:rsid w:val="00927D2D"/>
    <w:rsid w:val="0093010A"/>
    <w:rsid w:val="00931397"/>
    <w:rsid w:val="0093182A"/>
    <w:rsid w:val="00931946"/>
    <w:rsid w:val="00931D4C"/>
    <w:rsid w:val="00932281"/>
    <w:rsid w:val="009337FF"/>
    <w:rsid w:val="009343AB"/>
    <w:rsid w:val="0093442B"/>
    <w:rsid w:val="009345E4"/>
    <w:rsid w:val="009353D2"/>
    <w:rsid w:val="00935815"/>
    <w:rsid w:val="009359FC"/>
    <w:rsid w:val="00935BDF"/>
    <w:rsid w:val="00936166"/>
    <w:rsid w:val="00936FEF"/>
    <w:rsid w:val="009370EB"/>
    <w:rsid w:val="0093727D"/>
    <w:rsid w:val="00937BAD"/>
    <w:rsid w:val="00937E18"/>
    <w:rsid w:val="009409AB"/>
    <w:rsid w:val="00940B27"/>
    <w:rsid w:val="00940C2C"/>
    <w:rsid w:val="009416AA"/>
    <w:rsid w:val="00941972"/>
    <w:rsid w:val="0094198A"/>
    <w:rsid w:val="00942349"/>
    <w:rsid w:val="009433BB"/>
    <w:rsid w:val="00943D5D"/>
    <w:rsid w:val="009440D1"/>
    <w:rsid w:val="00944B45"/>
    <w:rsid w:val="00944B84"/>
    <w:rsid w:val="00944CCC"/>
    <w:rsid w:val="00944D89"/>
    <w:rsid w:val="00944F78"/>
    <w:rsid w:val="0094537D"/>
    <w:rsid w:val="00945EAB"/>
    <w:rsid w:val="009469BB"/>
    <w:rsid w:val="00946B44"/>
    <w:rsid w:val="00946B8B"/>
    <w:rsid w:val="00946F01"/>
    <w:rsid w:val="00947529"/>
    <w:rsid w:val="009506BF"/>
    <w:rsid w:val="00950866"/>
    <w:rsid w:val="0095128F"/>
    <w:rsid w:val="00951461"/>
    <w:rsid w:val="0095163A"/>
    <w:rsid w:val="00951C78"/>
    <w:rsid w:val="009522A6"/>
    <w:rsid w:val="0095252F"/>
    <w:rsid w:val="00952EAE"/>
    <w:rsid w:val="00952F7D"/>
    <w:rsid w:val="00953D07"/>
    <w:rsid w:val="009544C0"/>
    <w:rsid w:val="00954D81"/>
    <w:rsid w:val="009555A1"/>
    <w:rsid w:val="00955FE1"/>
    <w:rsid w:val="00956F20"/>
    <w:rsid w:val="0095745D"/>
    <w:rsid w:val="009575C4"/>
    <w:rsid w:val="009576D4"/>
    <w:rsid w:val="00957BCB"/>
    <w:rsid w:val="009604E4"/>
    <w:rsid w:val="00960949"/>
    <w:rsid w:val="00962812"/>
    <w:rsid w:val="00962B93"/>
    <w:rsid w:val="00962DBA"/>
    <w:rsid w:val="009633F3"/>
    <w:rsid w:val="00965DD9"/>
    <w:rsid w:val="0096641C"/>
    <w:rsid w:val="009678CE"/>
    <w:rsid w:val="00967959"/>
    <w:rsid w:val="00967E76"/>
    <w:rsid w:val="00970542"/>
    <w:rsid w:val="0097068D"/>
    <w:rsid w:val="00970A55"/>
    <w:rsid w:val="009711CF"/>
    <w:rsid w:val="009725DC"/>
    <w:rsid w:val="00973C38"/>
    <w:rsid w:val="00973E97"/>
    <w:rsid w:val="00974436"/>
    <w:rsid w:val="00974A2F"/>
    <w:rsid w:val="00975B43"/>
    <w:rsid w:val="00975BD2"/>
    <w:rsid w:val="009763AC"/>
    <w:rsid w:val="009763DD"/>
    <w:rsid w:val="009773E4"/>
    <w:rsid w:val="00980C2A"/>
    <w:rsid w:val="00980D49"/>
    <w:rsid w:val="00980E15"/>
    <w:rsid w:val="00980E20"/>
    <w:rsid w:val="009813C6"/>
    <w:rsid w:val="009814B0"/>
    <w:rsid w:val="00981F3A"/>
    <w:rsid w:val="009822C4"/>
    <w:rsid w:val="00982475"/>
    <w:rsid w:val="00982657"/>
    <w:rsid w:val="0098342A"/>
    <w:rsid w:val="00983560"/>
    <w:rsid w:val="0098412B"/>
    <w:rsid w:val="00984A64"/>
    <w:rsid w:val="00985970"/>
    <w:rsid w:val="009869EC"/>
    <w:rsid w:val="00987015"/>
    <w:rsid w:val="00987513"/>
    <w:rsid w:val="009878FD"/>
    <w:rsid w:val="00987B94"/>
    <w:rsid w:val="00987ECD"/>
    <w:rsid w:val="0099003D"/>
    <w:rsid w:val="00990DD8"/>
    <w:rsid w:val="0099168D"/>
    <w:rsid w:val="00991809"/>
    <w:rsid w:val="00991C92"/>
    <w:rsid w:val="0099362A"/>
    <w:rsid w:val="009936DD"/>
    <w:rsid w:val="00994562"/>
    <w:rsid w:val="00994C98"/>
    <w:rsid w:val="0099574A"/>
    <w:rsid w:val="00996C1E"/>
    <w:rsid w:val="00997278"/>
    <w:rsid w:val="009978FB"/>
    <w:rsid w:val="00997BAC"/>
    <w:rsid w:val="009A01DE"/>
    <w:rsid w:val="009A09C6"/>
    <w:rsid w:val="009A0CFE"/>
    <w:rsid w:val="009A122C"/>
    <w:rsid w:val="009A24AC"/>
    <w:rsid w:val="009A24F5"/>
    <w:rsid w:val="009A34E7"/>
    <w:rsid w:val="009A4F9F"/>
    <w:rsid w:val="009A54C9"/>
    <w:rsid w:val="009A5A71"/>
    <w:rsid w:val="009A6760"/>
    <w:rsid w:val="009A69F1"/>
    <w:rsid w:val="009A6A97"/>
    <w:rsid w:val="009A6DD0"/>
    <w:rsid w:val="009A77E7"/>
    <w:rsid w:val="009A7DA2"/>
    <w:rsid w:val="009B003D"/>
    <w:rsid w:val="009B0B9E"/>
    <w:rsid w:val="009B2340"/>
    <w:rsid w:val="009B2E2B"/>
    <w:rsid w:val="009B357E"/>
    <w:rsid w:val="009B3AD4"/>
    <w:rsid w:val="009B3AFC"/>
    <w:rsid w:val="009B3C43"/>
    <w:rsid w:val="009B418E"/>
    <w:rsid w:val="009B4C80"/>
    <w:rsid w:val="009B4EE0"/>
    <w:rsid w:val="009B4F8A"/>
    <w:rsid w:val="009B4FCA"/>
    <w:rsid w:val="009B537F"/>
    <w:rsid w:val="009B5B0E"/>
    <w:rsid w:val="009B6139"/>
    <w:rsid w:val="009B679F"/>
    <w:rsid w:val="009B7001"/>
    <w:rsid w:val="009B708D"/>
    <w:rsid w:val="009B70D1"/>
    <w:rsid w:val="009B72DC"/>
    <w:rsid w:val="009B7B60"/>
    <w:rsid w:val="009B7BA1"/>
    <w:rsid w:val="009C0CB9"/>
    <w:rsid w:val="009C114C"/>
    <w:rsid w:val="009C1BAC"/>
    <w:rsid w:val="009C1CAF"/>
    <w:rsid w:val="009C3718"/>
    <w:rsid w:val="009C373B"/>
    <w:rsid w:val="009C379F"/>
    <w:rsid w:val="009C461D"/>
    <w:rsid w:val="009C56D3"/>
    <w:rsid w:val="009C6388"/>
    <w:rsid w:val="009C6425"/>
    <w:rsid w:val="009C6538"/>
    <w:rsid w:val="009C65D8"/>
    <w:rsid w:val="009C6E26"/>
    <w:rsid w:val="009C76D6"/>
    <w:rsid w:val="009C7C15"/>
    <w:rsid w:val="009D0109"/>
    <w:rsid w:val="009D0FD7"/>
    <w:rsid w:val="009D1497"/>
    <w:rsid w:val="009D2478"/>
    <w:rsid w:val="009D379D"/>
    <w:rsid w:val="009D3814"/>
    <w:rsid w:val="009D43D8"/>
    <w:rsid w:val="009D4820"/>
    <w:rsid w:val="009D4859"/>
    <w:rsid w:val="009D4A3A"/>
    <w:rsid w:val="009D4C29"/>
    <w:rsid w:val="009D50F8"/>
    <w:rsid w:val="009D5BD9"/>
    <w:rsid w:val="009D600C"/>
    <w:rsid w:val="009D640C"/>
    <w:rsid w:val="009D659B"/>
    <w:rsid w:val="009E00D6"/>
    <w:rsid w:val="009E0565"/>
    <w:rsid w:val="009E06AB"/>
    <w:rsid w:val="009E094A"/>
    <w:rsid w:val="009E1180"/>
    <w:rsid w:val="009E1967"/>
    <w:rsid w:val="009E2415"/>
    <w:rsid w:val="009E2445"/>
    <w:rsid w:val="009E26DA"/>
    <w:rsid w:val="009E37BD"/>
    <w:rsid w:val="009E4294"/>
    <w:rsid w:val="009E4826"/>
    <w:rsid w:val="009E5063"/>
    <w:rsid w:val="009E5253"/>
    <w:rsid w:val="009E52FE"/>
    <w:rsid w:val="009E5D34"/>
    <w:rsid w:val="009F09A4"/>
    <w:rsid w:val="009F18AA"/>
    <w:rsid w:val="009F1C84"/>
    <w:rsid w:val="009F1F7F"/>
    <w:rsid w:val="009F2149"/>
    <w:rsid w:val="009F2C9C"/>
    <w:rsid w:val="009F3486"/>
    <w:rsid w:val="009F4479"/>
    <w:rsid w:val="009F50BE"/>
    <w:rsid w:val="009F54DD"/>
    <w:rsid w:val="009F5827"/>
    <w:rsid w:val="009F5902"/>
    <w:rsid w:val="009F5A46"/>
    <w:rsid w:val="009F66CD"/>
    <w:rsid w:val="009F69AD"/>
    <w:rsid w:val="009F7685"/>
    <w:rsid w:val="009F78F7"/>
    <w:rsid w:val="00A0088F"/>
    <w:rsid w:val="00A00CE1"/>
    <w:rsid w:val="00A00E29"/>
    <w:rsid w:val="00A01103"/>
    <w:rsid w:val="00A02127"/>
    <w:rsid w:val="00A032DF"/>
    <w:rsid w:val="00A03457"/>
    <w:rsid w:val="00A035F3"/>
    <w:rsid w:val="00A03951"/>
    <w:rsid w:val="00A03A05"/>
    <w:rsid w:val="00A0593D"/>
    <w:rsid w:val="00A05FA6"/>
    <w:rsid w:val="00A06073"/>
    <w:rsid w:val="00A06D64"/>
    <w:rsid w:val="00A103F5"/>
    <w:rsid w:val="00A12608"/>
    <w:rsid w:val="00A127A2"/>
    <w:rsid w:val="00A13B1A"/>
    <w:rsid w:val="00A13C4D"/>
    <w:rsid w:val="00A1481B"/>
    <w:rsid w:val="00A148E1"/>
    <w:rsid w:val="00A15342"/>
    <w:rsid w:val="00A15349"/>
    <w:rsid w:val="00A154E0"/>
    <w:rsid w:val="00A16634"/>
    <w:rsid w:val="00A17F06"/>
    <w:rsid w:val="00A20492"/>
    <w:rsid w:val="00A2063F"/>
    <w:rsid w:val="00A2108B"/>
    <w:rsid w:val="00A2116F"/>
    <w:rsid w:val="00A211D7"/>
    <w:rsid w:val="00A215BF"/>
    <w:rsid w:val="00A219AA"/>
    <w:rsid w:val="00A22D25"/>
    <w:rsid w:val="00A2341A"/>
    <w:rsid w:val="00A23EAB"/>
    <w:rsid w:val="00A24527"/>
    <w:rsid w:val="00A245E4"/>
    <w:rsid w:val="00A24D78"/>
    <w:rsid w:val="00A25C39"/>
    <w:rsid w:val="00A26861"/>
    <w:rsid w:val="00A27187"/>
    <w:rsid w:val="00A27760"/>
    <w:rsid w:val="00A3031C"/>
    <w:rsid w:val="00A31865"/>
    <w:rsid w:val="00A31DB3"/>
    <w:rsid w:val="00A3268D"/>
    <w:rsid w:val="00A32C1C"/>
    <w:rsid w:val="00A32EB5"/>
    <w:rsid w:val="00A33FA6"/>
    <w:rsid w:val="00A34280"/>
    <w:rsid w:val="00A34783"/>
    <w:rsid w:val="00A34A3C"/>
    <w:rsid w:val="00A3530A"/>
    <w:rsid w:val="00A35611"/>
    <w:rsid w:val="00A3580B"/>
    <w:rsid w:val="00A36008"/>
    <w:rsid w:val="00A3616F"/>
    <w:rsid w:val="00A36490"/>
    <w:rsid w:val="00A3699E"/>
    <w:rsid w:val="00A36B39"/>
    <w:rsid w:val="00A36CAB"/>
    <w:rsid w:val="00A36E26"/>
    <w:rsid w:val="00A40507"/>
    <w:rsid w:val="00A410C8"/>
    <w:rsid w:val="00A41D20"/>
    <w:rsid w:val="00A41F2A"/>
    <w:rsid w:val="00A421A2"/>
    <w:rsid w:val="00A423A0"/>
    <w:rsid w:val="00A4314B"/>
    <w:rsid w:val="00A4382C"/>
    <w:rsid w:val="00A43AA4"/>
    <w:rsid w:val="00A44273"/>
    <w:rsid w:val="00A4443A"/>
    <w:rsid w:val="00A4484A"/>
    <w:rsid w:val="00A44B5C"/>
    <w:rsid w:val="00A45166"/>
    <w:rsid w:val="00A471B5"/>
    <w:rsid w:val="00A474B2"/>
    <w:rsid w:val="00A47518"/>
    <w:rsid w:val="00A50972"/>
    <w:rsid w:val="00A51F5E"/>
    <w:rsid w:val="00A51FD0"/>
    <w:rsid w:val="00A524F7"/>
    <w:rsid w:val="00A5259C"/>
    <w:rsid w:val="00A52693"/>
    <w:rsid w:val="00A54982"/>
    <w:rsid w:val="00A549E2"/>
    <w:rsid w:val="00A54D7B"/>
    <w:rsid w:val="00A5589A"/>
    <w:rsid w:val="00A55E69"/>
    <w:rsid w:val="00A55E8A"/>
    <w:rsid w:val="00A56E88"/>
    <w:rsid w:val="00A61234"/>
    <w:rsid w:val="00A61C26"/>
    <w:rsid w:val="00A6293E"/>
    <w:rsid w:val="00A63C35"/>
    <w:rsid w:val="00A648A3"/>
    <w:rsid w:val="00A648B4"/>
    <w:rsid w:val="00A6491A"/>
    <w:rsid w:val="00A6581E"/>
    <w:rsid w:val="00A668FB"/>
    <w:rsid w:val="00A66BC2"/>
    <w:rsid w:val="00A67681"/>
    <w:rsid w:val="00A70307"/>
    <w:rsid w:val="00A71989"/>
    <w:rsid w:val="00A73921"/>
    <w:rsid w:val="00A73C08"/>
    <w:rsid w:val="00A73DC8"/>
    <w:rsid w:val="00A73F1A"/>
    <w:rsid w:val="00A73F90"/>
    <w:rsid w:val="00A746AF"/>
    <w:rsid w:val="00A75F59"/>
    <w:rsid w:val="00A76264"/>
    <w:rsid w:val="00A765D3"/>
    <w:rsid w:val="00A767CA"/>
    <w:rsid w:val="00A76B0F"/>
    <w:rsid w:val="00A80338"/>
    <w:rsid w:val="00A803C9"/>
    <w:rsid w:val="00A8056C"/>
    <w:rsid w:val="00A80CC2"/>
    <w:rsid w:val="00A8201B"/>
    <w:rsid w:val="00A8295A"/>
    <w:rsid w:val="00A82C7D"/>
    <w:rsid w:val="00A83180"/>
    <w:rsid w:val="00A83584"/>
    <w:rsid w:val="00A83895"/>
    <w:rsid w:val="00A84272"/>
    <w:rsid w:val="00A85EE7"/>
    <w:rsid w:val="00A85F15"/>
    <w:rsid w:val="00A863E2"/>
    <w:rsid w:val="00A869B3"/>
    <w:rsid w:val="00A901BD"/>
    <w:rsid w:val="00A90476"/>
    <w:rsid w:val="00A90B3A"/>
    <w:rsid w:val="00A91CCC"/>
    <w:rsid w:val="00A91FD3"/>
    <w:rsid w:val="00A921E2"/>
    <w:rsid w:val="00A922B8"/>
    <w:rsid w:val="00A929A0"/>
    <w:rsid w:val="00A92B4E"/>
    <w:rsid w:val="00A92BA0"/>
    <w:rsid w:val="00A93232"/>
    <w:rsid w:val="00A9373F"/>
    <w:rsid w:val="00A93ADF"/>
    <w:rsid w:val="00A944CC"/>
    <w:rsid w:val="00A94F9A"/>
    <w:rsid w:val="00A952DA"/>
    <w:rsid w:val="00A9547B"/>
    <w:rsid w:val="00A95EC7"/>
    <w:rsid w:val="00A96E5F"/>
    <w:rsid w:val="00A97667"/>
    <w:rsid w:val="00A978A7"/>
    <w:rsid w:val="00AA01B3"/>
    <w:rsid w:val="00AA0B3A"/>
    <w:rsid w:val="00AA0D0A"/>
    <w:rsid w:val="00AA0DF0"/>
    <w:rsid w:val="00AA0E71"/>
    <w:rsid w:val="00AA13C5"/>
    <w:rsid w:val="00AA172B"/>
    <w:rsid w:val="00AA1F3D"/>
    <w:rsid w:val="00AA1FCE"/>
    <w:rsid w:val="00AA2B3C"/>
    <w:rsid w:val="00AA2E1F"/>
    <w:rsid w:val="00AA2EB8"/>
    <w:rsid w:val="00AA302A"/>
    <w:rsid w:val="00AA4CDF"/>
    <w:rsid w:val="00AA51D0"/>
    <w:rsid w:val="00AA5AD3"/>
    <w:rsid w:val="00AA6185"/>
    <w:rsid w:val="00AA6968"/>
    <w:rsid w:val="00AA6B92"/>
    <w:rsid w:val="00AA6EDF"/>
    <w:rsid w:val="00AA7C3D"/>
    <w:rsid w:val="00AB023A"/>
    <w:rsid w:val="00AB0644"/>
    <w:rsid w:val="00AB0BAB"/>
    <w:rsid w:val="00AB0EBD"/>
    <w:rsid w:val="00AB15D8"/>
    <w:rsid w:val="00AB1C4E"/>
    <w:rsid w:val="00AB1EBE"/>
    <w:rsid w:val="00AB29C1"/>
    <w:rsid w:val="00AB2C8A"/>
    <w:rsid w:val="00AB2DD7"/>
    <w:rsid w:val="00AB391E"/>
    <w:rsid w:val="00AB3EF4"/>
    <w:rsid w:val="00AB3F08"/>
    <w:rsid w:val="00AB48CA"/>
    <w:rsid w:val="00AB4907"/>
    <w:rsid w:val="00AB556A"/>
    <w:rsid w:val="00AB58D6"/>
    <w:rsid w:val="00AB5C32"/>
    <w:rsid w:val="00AB686D"/>
    <w:rsid w:val="00AB77CF"/>
    <w:rsid w:val="00AB7915"/>
    <w:rsid w:val="00AB79F1"/>
    <w:rsid w:val="00AB7F27"/>
    <w:rsid w:val="00AC0732"/>
    <w:rsid w:val="00AC0F76"/>
    <w:rsid w:val="00AC1A2E"/>
    <w:rsid w:val="00AC1EC9"/>
    <w:rsid w:val="00AC21F2"/>
    <w:rsid w:val="00AC292C"/>
    <w:rsid w:val="00AC2EAD"/>
    <w:rsid w:val="00AC31F3"/>
    <w:rsid w:val="00AC3BED"/>
    <w:rsid w:val="00AC3D9C"/>
    <w:rsid w:val="00AC487F"/>
    <w:rsid w:val="00AC58B5"/>
    <w:rsid w:val="00AC65F7"/>
    <w:rsid w:val="00AC6D62"/>
    <w:rsid w:val="00AC7881"/>
    <w:rsid w:val="00AC79AE"/>
    <w:rsid w:val="00AC7E66"/>
    <w:rsid w:val="00AC7E68"/>
    <w:rsid w:val="00AD00EC"/>
    <w:rsid w:val="00AD0BBE"/>
    <w:rsid w:val="00AD0C12"/>
    <w:rsid w:val="00AD0C91"/>
    <w:rsid w:val="00AD0CD6"/>
    <w:rsid w:val="00AD1186"/>
    <w:rsid w:val="00AD190F"/>
    <w:rsid w:val="00AD2163"/>
    <w:rsid w:val="00AD2574"/>
    <w:rsid w:val="00AD2AE8"/>
    <w:rsid w:val="00AD32B2"/>
    <w:rsid w:val="00AD351C"/>
    <w:rsid w:val="00AD3DB3"/>
    <w:rsid w:val="00AD4554"/>
    <w:rsid w:val="00AD4640"/>
    <w:rsid w:val="00AD4F54"/>
    <w:rsid w:val="00AD5058"/>
    <w:rsid w:val="00AD513E"/>
    <w:rsid w:val="00AD5405"/>
    <w:rsid w:val="00AD6486"/>
    <w:rsid w:val="00AD6A3B"/>
    <w:rsid w:val="00AD750B"/>
    <w:rsid w:val="00AE0225"/>
    <w:rsid w:val="00AE139F"/>
    <w:rsid w:val="00AE2066"/>
    <w:rsid w:val="00AE27FE"/>
    <w:rsid w:val="00AE2888"/>
    <w:rsid w:val="00AE2DDF"/>
    <w:rsid w:val="00AE3046"/>
    <w:rsid w:val="00AE32E5"/>
    <w:rsid w:val="00AE48DC"/>
    <w:rsid w:val="00AE5C60"/>
    <w:rsid w:val="00AE6147"/>
    <w:rsid w:val="00AE6985"/>
    <w:rsid w:val="00AE752A"/>
    <w:rsid w:val="00AF0379"/>
    <w:rsid w:val="00AF1E73"/>
    <w:rsid w:val="00AF2225"/>
    <w:rsid w:val="00AF25CE"/>
    <w:rsid w:val="00AF2A58"/>
    <w:rsid w:val="00AF3744"/>
    <w:rsid w:val="00AF497D"/>
    <w:rsid w:val="00AF4D1E"/>
    <w:rsid w:val="00AF5122"/>
    <w:rsid w:val="00AF5911"/>
    <w:rsid w:val="00AF5B03"/>
    <w:rsid w:val="00AF6503"/>
    <w:rsid w:val="00AF664E"/>
    <w:rsid w:val="00AF666B"/>
    <w:rsid w:val="00AF6997"/>
    <w:rsid w:val="00AF6DB2"/>
    <w:rsid w:val="00B00C47"/>
    <w:rsid w:val="00B0141D"/>
    <w:rsid w:val="00B017B7"/>
    <w:rsid w:val="00B01D02"/>
    <w:rsid w:val="00B0219F"/>
    <w:rsid w:val="00B02805"/>
    <w:rsid w:val="00B03547"/>
    <w:rsid w:val="00B03DAF"/>
    <w:rsid w:val="00B04477"/>
    <w:rsid w:val="00B0503D"/>
    <w:rsid w:val="00B05385"/>
    <w:rsid w:val="00B0576E"/>
    <w:rsid w:val="00B05F48"/>
    <w:rsid w:val="00B068F0"/>
    <w:rsid w:val="00B070EF"/>
    <w:rsid w:val="00B0728C"/>
    <w:rsid w:val="00B07A8C"/>
    <w:rsid w:val="00B11E41"/>
    <w:rsid w:val="00B11FC7"/>
    <w:rsid w:val="00B12619"/>
    <w:rsid w:val="00B12B1A"/>
    <w:rsid w:val="00B147CC"/>
    <w:rsid w:val="00B150BE"/>
    <w:rsid w:val="00B15E5D"/>
    <w:rsid w:val="00B167BF"/>
    <w:rsid w:val="00B16B91"/>
    <w:rsid w:val="00B17839"/>
    <w:rsid w:val="00B21907"/>
    <w:rsid w:val="00B21D41"/>
    <w:rsid w:val="00B22DBF"/>
    <w:rsid w:val="00B23659"/>
    <w:rsid w:val="00B23C49"/>
    <w:rsid w:val="00B23D63"/>
    <w:rsid w:val="00B24474"/>
    <w:rsid w:val="00B2492B"/>
    <w:rsid w:val="00B25487"/>
    <w:rsid w:val="00B25682"/>
    <w:rsid w:val="00B25865"/>
    <w:rsid w:val="00B258D8"/>
    <w:rsid w:val="00B25E60"/>
    <w:rsid w:val="00B26C21"/>
    <w:rsid w:val="00B26E57"/>
    <w:rsid w:val="00B2722E"/>
    <w:rsid w:val="00B27A32"/>
    <w:rsid w:val="00B30415"/>
    <w:rsid w:val="00B31784"/>
    <w:rsid w:val="00B3180F"/>
    <w:rsid w:val="00B319DE"/>
    <w:rsid w:val="00B31AE6"/>
    <w:rsid w:val="00B32722"/>
    <w:rsid w:val="00B33386"/>
    <w:rsid w:val="00B33D01"/>
    <w:rsid w:val="00B33F58"/>
    <w:rsid w:val="00B34094"/>
    <w:rsid w:val="00B3481F"/>
    <w:rsid w:val="00B34E81"/>
    <w:rsid w:val="00B34FB8"/>
    <w:rsid w:val="00B357E4"/>
    <w:rsid w:val="00B35841"/>
    <w:rsid w:val="00B35AF8"/>
    <w:rsid w:val="00B36B48"/>
    <w:rsid w:val="00B4082E"/>
    <w:rsid w:val="00B40D9A"/>
    <w:rsid w:val="00B41365"/>
    <w:rsid w:val="00B41986"/>
    <w:rsid w:val="00B41E62"/>
    <w:rsid w:val="00B42605"/>
    <w:rsid w:val="00B42ABD"/>
    <w:rsid w:val="00B42CCA"/>
    <w:rsid w:val="00B42E6D"/>
    <w:rsid w:val="00B431F1"/>
    <w:rsid w:val="00B436EF"/>
    <w:rsid w:val="00B43746"/>
    <w:rsid w:val="00B43A94"/>
    <w:rsid w:val="00B43F75"/>
    <w:rsid w:val="00B44F9F"/>
    <w:rsid w:val="00B45202"/>
    <w:rsid w:val="00B453BB"/>
    <w:rsid w:val="00B4575B"/>
    <w:rsid w:val="00B45A50"/>
    <w:rsid w:val="00B45B9D"/>
    <w:rsid w:val="00B46179"/>
    <w:rsid w:val="00B46C66"/>
    <w:rsid w:val="00B47110"/>
    <w:rsid w:val="00B50C33"/>
    <w:rsid w:val="00B515D0"/>
    <w:rsid w:val="00B517AC"/>
    <w:rsid w:val="00B51CD0"/>
    <w:rsid w:val="00B52417"/>
    <w:rsid w:val="00B52574"/>
    <w:rsid w:val="00B544B4"/>
    <w:rsid w:val="00B54BEA"/>
    <w:rsid w:val="00B54C1E"/>
    <w:rsid w:val="00B54D17"/>
    <w:rsid w:val="00B55050"/>
    <w:rsid w:val="00B55818"/>
    <w:rsid w:val="00B55EE7"/>
    <w:rsid w:val="00B5626F"/>
    <w:rsid w:val="00B5666D"/>
    <w:rsid w:val="00B56919"/>
    <w:rsid w:val="00B56B78"/>
    <w:rsid w:val="00B56C21"/>
    <w:rsid w:val="00B57643"/>
    <w:rsid w:val="00B5798F"/>
    <w:rsid w:val="00B607F4"/>
    <w:rsid w:val="00B626C8"/>
    <w:rsid w:val="00B628C9"/>
    <w:rsid w:val="00B62A98"/>
    <w:rsid w:val="00B63685"/>
    <w:rsid w:val="00B63ABF"/>
    <w:rsid w:val="00B64425"/>
    <w:rsid w:val="00B646A2"/>
    <w:rsid w:val="00B646F3"/>
    <w:rsid w:val="00B64B83"/>
    <w:rsid w:val="00B64CBB"/>
    <w:rsid w:val="00B655BC"/>
    <w:rsid w:val="00B663C7"/>
    <w:rsid w:val="00B6681D"/>
    <w:rsid w:val="00B66A9D"/>
    <w:rsid w:val="00B677BA"/>
    <w:rsid w:val="00B7006C"/>
    <w:rsid w:val="00B70519"/>
    <w:rsid w:val="00B70D71"/>
    <w:rsid w:val="00B72063"/>
    <w:rsid w:val="00B72073"/>
    <w:rsid w:val="00B725C9"/>
    <w:rsid w:val="00B733E4"/>
    <w:rsid w:val="00B73978"/>
    <w:rsid w:val="00B73A81"/>
    <w:rsid w:val="00B73AC3"/>
    <w:rsid w:val="00B74DBA"/>
    <w:rsid w:val="00B751E6"/>
    <w:rsid w:val="00B75D17"/>
    <w:rsid w:val="00B75D87"/>
    <w:rsid w:val="00B76103"/>
    <w:rsid w:val="00B76205"/>
    <w:rsid w:val="00B76593"/>
    <w:rsid w:val="00B77175"/>
    <w:rsid w:val="00B773B4"/>
    <w:rsid w:val="00B774DE"/>
    <w:rsid w:val="00B77C89"/>
    <w:rsid w:val="00B77E30"/>
    <w:rsid w:val="00B77F8A"/>
    <w:rsid w:val="00B801F9"/>
    <w:rsid w:val="00B80399"/>
    <w:rsid w:val="00B8042C"/>
    <w:rsid w:val="00B80BC8"/>
    <w:rsid w:val="00B80DA7"/>
    <w:rsid w:val="00B80E54"/>
    <w:rsid w:val="00B81563"/>
    <w:rsid w:val="00B82402"/>
    <w:rsid w:val="00B82E41"/>
    <w:rsid w:val="00B83324"/>
    <w:rsid w:val="00B8476E"/>
    <w:rsid w:val="00B850C5"/>
    <w:rsid w:val="00B851A0"/>
    <w:rsid w:val="00B851EF"/>
    <w:rsid w:val="00B8530B"/>
    <w:rsid w:val="00B8582A"/>
    <w:rsid w:val="00B86A9D"/>
    <w:rsid w:val="00B87AF9"/>
    <w:rsid w:val="00B90526"/>
    <w:rsid w:val="00B90846"/>
    <w:rsid w:val="00B91219"/>
    <w:rsid w:val="00B92AE1"/>
    <w:rsid w:val="00B92B71"/>
    <w:rsid w:val="00B92D94"/>
    <w:rsid w:val="00B95D37"/>
    <w:rsid w:val="00B9782B"/>
    <w:rsid w:val="00BA0492"/>
    <w:rsid w:val="00BA0658"/>
    <w:rsid w:val="00BA07E5"/>
    <w:rsid w:val="00BA08D4"/>
    <w:rsid w:val="00BA0A27"/>
    <w:rsid w:val="00BA0DC4"/>
    <w:rsid w:val="00BA0E4E"/>
    <w:rsid w:val="00BA1DE7"/>
    <w:rsid w:val="00BA33EE"/>
    <w:rsid w:val="00BA3BFF"/>
    <w:rsid w:val="00BA4A0D"/>
    <w:rsid w:val="00BA53C4"/>
    <w:rsid w:val="00BA5478"/>
    <w:rsid w:val="00BA5FF4"/>
    <w:rsid w:val="00BA6550"/>
    <w:rsid w:val="00BA655C"/>
    <w:rsid w:val="00BA655D"/>
    <w:rsid w:val="00BA68BF"/>
    <w:rsid w:val="00BA6D94"/>
    <w:rsid w:val="00BA7B84"/>
    <w:rsid w:val="00BA7C0E"/>
    <w:rsid w:val="00BA7CF0"/>
    <w:rsid w:val="00BB0277"/>
    <w:rsid w:val="00BB0394"/>
    <w:rsid w:val="00BB09CB"/>
    <w:rsid w:val="00BB0D3B"/>
    <w:rsid w:val="00BB0D5D"/>
    <w:rsid w:val="00BB1AE2"/>
    <w:rsid w:val="00BB1D7B"/>
    <w:rsid w:val="00BB1FC0"/>
    <w:rsid w:val="00BB20B9"/>
    <w:rsid w:val="00BB26F5"/>
    <w:rsid w:val="00BB2CC9"/>
    <w:rsid w:val="00BB3F11"/>
    <w:rsid w:val="00BB4A73"/>
    <w:rsid w:val="00BB5ACC"/>
    <w:rsid w:val="00BB6415"/>
    <w:rsid w:val="00BB6AA1"/>
    <w:rsid w:val="00BB73C9"/>
    <w:rsid w:val="00BB753E"/>
    <w:rsid w:val="00BB7A7D"/>
    <w:rsid w:val="00BB7C4E"/>
    <w:rsid w:val="00BC026A"/>
    <w:rsid w:val="00BC0AC8"/>
    <w:rsid w:val="00BC0C86"/>
    <w:rsid w:val="00BC106F"/>
    <w:rsid w:val="00BC12BA"/>
    <w:rsid w:val="00BC202C"/>
    <w:rsid w:val="00BC2419"/>
    <w:rsid w:val="00BC24E8"/>
    <w:rsid w:val="00BC267D"/>
    <w:rsid w:val="00BC29C9"/>
    <w:rsid w:val="00BC2E3E"/>
    <w:rsid w:val="00BC2E4E"/>
    <w:rsid w:val="00BC3266"/>
    <w:rsid w:val="00BC342E"/>
    <w:rsid w:val="00BC34F4"/>
    <w:rsid w:val="00BC4416"/>
    <w:rsid w:val="00BC46ED"/>
    <w:rsid w:val="00BC484C"/>
    <w:rsid w:val="00BC4B59"/>
    <w:rsid w:val="00BC4D30"/>
    <w:rsid w:val="00BC537A"/>
    <w:rsid w:val="00BC571D"/>
    <w:rsid w:val="00BC62C8"/>
    <w:rsid w:val="00BC69A5"/>
    <w:rsid w:val="00BC7480"/>
    <w:rsid w:val="00BC78B1"/>
    <w:rsid w:val="00BD0682"/>
    <w:rsid w:val="00BD0DB2"/>
    <w:rsid w:val="00BD139F"/>
    <w:rsid w:val="00BD2DAD"/>
    <w:rsid w:val="00BD315B"/>
    <w:rsid w:val="00BD3B41"/>
    <w:rsid w:val="00BD3E50"/>
    <w:rsid w:val="00BD56A9"/>
    <w:rsid w:val="00BD57ED"/>
    <w:rsid w:val="00BD7821"/>
    <w:rsid w:val="00BE0281"/>
    <w:rsid w:val="00BE080D"/>
    <w:rsid w:val="00BE0B29"/>
    <w:rsid w:val="00BE0CEC"/>
    <w:rsid w:val="00BE0EBE"/>
    <w:rsid w:val="00BE0FD5"/>
    <w:rsid w:val="00BE20B1"/>
    <w:rsid w:val="00BE2468"/>
    <w:rsid w:val="00BE24B5"/>
    <w:rsid w:val="00BE35DA"/>
    <w:rsid w:val="00BE3691"/>
    <w:rsid w:val="00BE3C7B"/>
    <w:rsid w:val="00BE4321"/>
    <w:rsid w:val="00BE4374"/>
    <w:rsid w:val="00BE5074"/>
    <w:rsid w:val="00BE542D"/>
    <w:rsid w:val="00BE5524"/>
    <w:rsid w:val="00BE5826"/>
    <w:rsid w:val="00BE593C"/>
    <w:rsid w:val="00BE669B"/>
    <w:rsid w:val="00BE6AA9"/>
    <w:rsid w:val="00BE70BB"/>
    <w:rsid w:val="00BE7D06"/>
    <w:rsid w:val="00BF043B"/>
    <w:rsid w:val="00BF0E8A"/>
    <w:rsid w:val="00BF1391"/>
    <w:rsid w:val="00BF1B1A"/>
    <w:rsid w:val="00BF23AE"/>
    <w:rsid w:val="00BF2499"/>
    <w:rsid w:val="00BF3330"/>
    <w:rsid w:val="00BF35B2"/>
    <w:rsid w:val="00BF38C4"/>
    <w:rsid w:val="00BF3A7D"/>
    <w:rsid w:val="00BF3CA6"/>
    <w:rsid w:val="00BF3D1B"/>
    <w:rsid w:val="00BF4422"/>
    <w:rsid w:val="00BF4BE2"/>
    <w:rsid w:val="00BF4F96"/>
    <w:rsid w:val="00BF52B0"/>
    <w:rsid w:val="00BF6030"/>
    <w:rsid w:val="00BF7024"/>
    <w:rsid w:val="00BF75AD"/>
    <w:rsid w:val="00BF76CB"/>
    <w:rsid w:val="00BF7774"/>
    <w:rsid w:val="00BF788B"/>
    <w:rsid w:val="00BF7FC9"/>
    <w:rsid w:val="00C0050B"/>
    <w:rsid w:val="00C00BF6"/>
    <w:rsid w:val="00C02C1A"/>
    <w:rsid w:val="00C02E8A"/>
    <w:rsid w:val="00C03970"/>
    <w:rsid w:val="00C03AB7"/>
    <w:rsid w:val="00C04B0D"/>
    <w:rsid w:val="00C0513B"/>
    <w:rsid w:val="00C06645"/>
    <w:rsid w:val="00C06E7F"/>
    <w:rsid w:val="00C06F93"/>
    <w:rsid w:val="00C0749C"/>
    <w:rsid w:val="00C075CE"/>
    <w:rsid w:val="00C11281"/>
    <w:rsid w:val="00C12D41"/>
    <w:rsid w:val="00C142D7"/>
    <w:rsid w:val="00C14798"/>
    <w:rsid w:val="00C15DFE"/>
    <w:rsid w:val="00C166E9"/>
    <w:rsid w:val="00C17568"/>
    <w:rsid w:val="00C17A89"/>
    <w:rsid w:val="00C2032F"/>
    <w:rsid w:val="00C21705"/>
    <w:rsid w:val="00C21749"/>
    <w:rsid w:val="00C21C7B"/>
    <w:rsid w:val="00C221A2"/>
    <w:rsid w:val="00C224B4"/>
    <w:rsid w:val="00C22AD2"/>
    <w:rsid w:val="00C22D76"/>
    <w:rsid w:val="00C2317E"/>
    <w:rsid w:val="00C23C16"/>
    <w:rsid w:val="00C23C98"/>
    <w:rsid w:val="00C23E67"/>
    <w:rsid w:val="00C242A6"/>
    <w:rsid w:val="00C24BC2"/>
    <w:rsid w:val="00C2555A"/>
    <w:rsid w:val="00C2565D"/>
    <w:rsid w:val="00C25719"/>
    <w:rsid w:val="00C264C0"/>
    <w:rsid w:val="00C26512"/>
    <w:rsid w:val="00C26DCD"/>
    <w:rsid w:val="00C27001"/>
    <w:rsid w:val="00C274AB"/>
    <w:rsid w:val="00C31C9F"/>
    <w:rsid w:val="00C326B5"/>
    <w:rsid w:val="00C3281F"/>
    <w:rsid w:val="00C33231"/>
    <w:rsid w:val="00C33306"/>
    <w:rsid w:val="00C33638"/>
    <w:rsid w:val="00C33B4C"/>
    <w:rsid w:val="00C33C98"/>
    <w:rsid w:val="00C34078"/>
    <w:rsid w:val="00C3425A"/>
    <w:rsid w:val="00C34594"/>
    <w:rsid w:val="00C34E4F"/>
    <w:rsid w:val="00C351B6"/>
    <w:rsid w:val="00C35618"/>
    <w:rsid w:val="00C35AF6"/>
    <w:rsid w:val="00C35B98"/>
    <w:rsid w:val="00C36539"/>
    <w:rsid w:val="00C366A5"/>
    <w:rsid w:val="00C368EE"/>
    <w:rsid w:val="00C36A8C"/>
    <w:rsid w:val="00C40E67"/>
    <w:rsid w:val="00C4106A"/>
    <w:rsid w:val="00C41D92"/>
    <w:rsid w:val="00C41FBE"/>
    <w:rsid w:val="00C420C1"/>
    <w:rsid w:val="00C4216E"/>
    <w:rsid w:val="00C423E1"/>
    <w:rsid w:val="00C42521"/>
    <w:rsid w:val="00C430B7"/>
    <w:rsid w:val="00C43855"/>
    <w:rsid w:val="00C44286"/>
    <w:rsid w:val="00C45164"/>
    <w:rsid w:val="00C45BC8"/>
    <w:rsid w:val="00C461D1"/>
    <w:rsid w:val="00C463CA"/>
    <w:rsid w:val="00C467A7"/>
    <w:rsid w:val="00C46A2A"/>
    <w:rsid w:val="00C46F3C"/>
    <w:rsid w:val="00C505EC"/>
    <w:rsid w:val="00C506E6"/>
    <w:rsid w:val="00C5076D"/>
    <w:rsid w:val="00C50A17"/>
    <w:rsid w:val="00C50BE5"/>
    <w:rsid w:val="00C510DB"/>
    <w:rsid w:val="00C519CB"/>
    <w:rsid w:val="00C52255"/>
    <w:rsid w:val="00C5267D"/>
    <w:rsid w:val="00C52C92"/>
    <w:rsid w:val="00C53144"/>
    <w:rsid w:val="00C5409C"/>
    <w:rsid w:val="00C54679"/>
    <w:rsid w:val="00C54B79"/>
    <w:rsid w:val="00C54F15"/>
    <w:rsid w:val="00C55252"/>
    <w:rsid w:val="00C55604"/>
    <w:rsid w:val="00C55B19"/>
    <w:rsid w:val="00C55D26"/>
    <w:rsid w:val="00C564F1"/>
    <w:rsid w:val="00C57D7A"/>
    <w:rsid w:val="00C608D1"/>
    <w:rsid w:val="00C60EF6"/>
    <w:rsid w:val="00C611AC"/>
    <w:rsid w:val="00C6193B"/>
    <w:rsid w:val="00C62CAF"/>
    <w:rsid w:val="00C62E86"/>
    <w:rsid w:val="00C62F4E"/>
    <w:rsid w:val="00C62F76"/>
    <w:rsid w:val="00C63261"/>
    <w:rsid w:val="00C63321"/>
    <w:rsid w:val="00C63A80"/>
    <w:rsid w:val="00C63D68"/>
    <w:rsid w:val="00C64075"/>
    <w:rsid w:val="00C6433D"/>
    <w:rsid w:val="00C65FDF"/>
    <w:rsid w:val="00C66CD0"/>
    <w:rsid w:val="00C67120"/>
    <w:rsid w:val="00C67FD2"/>
    <w:rsid w:val="00C70717"/>
    <w:rsid w:val="00C70742"/>
    <w:rsid w:val="00C71762"/>
    <w:rsid w:val="00C72AB9"/>
    <w:rsid w:val="00C737E7"/>
    <w:rsid w:val="00C7433E"/>
    <w:rsid w:val="00C751E6"/>
    <w:rsid w:val="00C755A0"/>
    <w:rsid w:val="00C7596D"/>
    <w:rsid w:val="00C75DF8"/>
    <w:rsid w:val="00C75F7F"/>
    <w:rsid w:val="00C76A37"/>
    <w:rsid w:val="00C772C1"/>
    <w:rsid w:val="00C77367"/>
    <w:rsid w:val="00C77655"/>
    <w:rsid w:val="00C800B0"/>
    <w:rsid w:val="00C80475"/>
    <w:rsid w:val="00C806C5"/>
    <w:rsid w:val="00C80950"/>
    <w:rsid w:val="00C81691"/>
    <w:rsid w:val="00C81A57"/>
    <w:rsid w:val="00C81DE4"/>
    <w:rsid w:val="00C8261D"/>
    <w:rsid w:val="00C826CF"/>
    <w:rsid w:val="00C82964"/>
    <w:rsid w:val="00C829FB"/>
    <w:rsid w:val="00C83373"/>
    <w:rsid w:val="00C83B35"/>
    <w:rsid w:val="00C84EA3"/>
    <w:rsid w:val="00C85C8D"/>
    <w:rsid w:val="00C86212"/>
    <w:rsid w:val="00C86356"/>
    <w:rsid w:val="00C86D44"/>
    <w:rsid w:val="00C86EBD"/>
    <w:rsid w:val="00C87AE1"/>
    <w:rsid w:val="00C87CC2"/>
    <w:rsid w:val="00C87E71"/>
    <w:rsid w:val="00C91A55"/>
    <w:rsid w:val="00C91B68"/>
    <w:rsid w:val="00C921CB"/>
    <w:rsid w:val="00C922AF"/>
    <w:rsid w:val="00C92A70"/>
    <w:rsid w:val="00C931C0"/>
    <w:rsid w:val="00C93944"/>
    <w:rsid w:val="00C94BA6"/>
    <w:rsid w:val="00C9544C"/>
    <w:rsid w:val="00C960D3"/>
    <w:rsid w:val="00C9664B"/>
    <w:rsid w:val="00C97F48"/>
    <w:rsid w:val="00CA0508"/>
    <w:rsid w:val="00CA0AB4"/>
    <w:rsid w:val="00CA1E24"/>
    <w:rsid w:val="00CA1FC5"/>
    <w:rsid w:val="00CA2AE8"/>
    <w:rsid w:val="00CA38A8"/>
    <w:rsid w:val="00CA45C3"/>
    <w:rsid w:val="00CA48DE"/>
    <w:rsid w:val="00CA55EA"/>
    <w:rsid w:val="00CA699B"/>
    <w:rsid w:val="00CA6DEB"/>
    <w:rsid w:val="00CA7133"/>
    <w:rsid w:val="00CA78DA"/>
    <w:rsid w:val="00CA7B11"/>
    <w:rsid w:val="00CB08C9"/>
    <w:rsid w:val="00CB0922"/>
    <w:rsid w:val="00CB10B4"/>
    <w:rsid w:val="00CB126E"/>
    <w:rsid w:val="00CB12C5"/>
    <w:rsid w:val="00CB12D5"/>
    <w:rsid w:val="00CB1A62"/>
    <w:rsid w:val="00CB20C7"/>
    <w:rsid w:val="00CB2207"/>
    <w:rsid w:val="00CB25BC"/>
    <w:rsid w:val="00CB26DA"/>
    <w:rsid w:val="00CB2749"/>
    <w:rsid w:val="00CB2B4E"/>
    <w:rsid w:val="00CB2EFB"/>
    <w:rsid w:val="00CB3F3C"/>
    <w:rsid w:val="00CB3F8E"/>
    <w:rsid w:val="00CB4BDE"/>
    <w:rsid w:val="00CB4D84"/>
    <w:rsid w:val="00CB5652"/>
    <w:rsid w:val="00CB59CC"/>
    <w:rsid w:val="00CB7A47"/>
    <w:rsid w:val="00CB7DB6"/>
    <w:rsid w:val="00CC0372"/>
    <w:rsid w:val="00CC0AEF"/>
    <w:rsid w:val="00CC0B12"/>
    <w:rsid w:val="00CC1153"/>
    <w:rsid w:val="00CC3747"/>
    <w:rsid w:val="00CC3B7D"/>
    <w:rsid w:val="00CC407A"/>
    <w:rsid w:val="00CC5129"/>
    <w:rsid w:val="00CC5429"/>
    <w:rsid w:val="00CC5FE3"/>
    <w:rsid w:val="00CC62D1"/>
    <w:rsid w:val="00CC6622"/>
    <w:rsid w:val="00CC68ED"/>
    <w:rsid w:val="00CC6A10"/>
    <w:rsid w:val="00CC6CA3"/>
    <w:rsid w:val="00CC7325"/>
    <w:rsid w:val="00CC7C38"/>
    <w:rsid w:val="00CD00E2"/>
    <w:rsid w:val="00CD0177"/>
    <w:rsid w:val="00CD06F7"/>
    <w:rsid w:val="00CD0E24"/>
    <w:rsid w:val="00CD2A7B"/>
    <w:rsid w:val="00CD336B"/>
    <w:rsid w:val="00CD3959"/>
    <w:rsid w:val="00CD3D36"/>
    <w:rsid w:val="00CD406F"/>
    <w:rsid w:val="00CD4643"/>
    <w:rsid w:val="00CD4B6B"/>
    <w:rsid w:val="00CD4E05"/>
    <w:rsid w:val="00CD6039"/>
    <w:rsid w:val="00CD6B36"/>
    <w:rsid w:val="00CD6E8B"/>
    <w:rsid w:val="00CD70A2"/>
    <w:rsid w:val="00CD7602"/>
    <w:rsid w:val="00CD779F"/>
    <w:rsid w:val="00CD79D7"/>
    <w:rsid w:val="00CD7ECE"/>
    <w:rsid w:val="00CE006E"/>
    <w:rsid w:val="00CE0906"/>
    <w:rsid w:val="00CE1285"/>
    <w:rsid w:val="00CE13C3"/>
    <w:rsid w:val="00CE166A"/>
    <w:rsid w:val="00CE1AA1"/>
    <w:rsid w:val="00CE2504"/>
    <w:rsid w:val="00CE285C"/>
    <w:rsid w:val="00CE289D"/>
    <w:rsid w:val="00CE2D01"/>
    <w:rsid w:val="00CE3030"/>
    <w:rsid w:val="00CE3414"/>
    <w:rsid w:val="00CE34C1"/>
    <w:rsid w:val="00CE450B"/>
    <w:rsid w:val="00CE459E"/>
    <w:rsid w:val="00CE4691"/>
    <w:rsid w:val="00CE47A2"/>
    <w:rsid w:val="00CE491C"/>
    <w:rsid w:val="00CE4B4F"/>
    <w:rsid w:val="00CE5057"/>
    <w:rsid w:val="00CE52CE"/>
    <w:rsid w:val="00CE52D9"/>
    <w:rsid w:val="00CE63EE"/>
    <w:rsid w:val="00CE65B4"/>
    <w:rsid w:val="00CE73C9"/>
    <w:rsid w:val="00CE78DE"/>
    <w:rsid w:val="00CE7ED9"/>
    <w:rsid w:val="00CF027F"/>
    <w:rsid w:val="00CF05E9"/>
    <w:rsid w:val="00CF1364"/>
    <w:rsid w:val="00CF2080"/>
    <w:rsid w:val="00CF23CC"/>
    <w:rsid w:val="00CF3042"/>
    <w:rsid w:val="00CF3143"/>
    <w:rsid w:val="00CF3727"/>
    <w:rsid w:val="00CF484F"/>
    <w:rsid w:val="00CF5208"/>
    <w:rsid w:val="00CF6019"/>
    <w:rsid w:val="00CF617F"/>
    <w:rsid w:val="00CF6360"/>
    <w:rsid w:val="00CF696E"/>
    <w:rsid w:val="00CF6C25"/>
    <w:rsid w:val="00CF6DE5"/>
    <w:rsid w:val="00D00575"/>
    <w:rsid w:val="00D008B1"/>
    <w:rsid w:val="00D01264"/>
    <w:rsid w:val="00D0171C"/>
    <w:rsid w:val="00D020C2"/>
    <w:rsid w:val="00D0230A"/>
    <w:rsid w:val="00D02B9B"/>
    <w:rsid w:val="00D02C5D"/>
    <w:rsid w:val="00D02D30"/>
    <w:rsid w:val="00D03028"/>
    <w:rsid w:val="00D034E5"/>
    <w:rsid w:val="00D035D3"/>
    <w:rsid w:val="00D03AB7"/>
    <w:rsid w:val="00D04050"/>
    <w:rsid w:val="00D044ED"/>
    <w:rsid w:val="00D04B35"/>
    <w:rsid w:val="00D04D3E"/>
    <w:rsid w:val="00D04F83"/>
    <w:rsid w:val="00D05ECB"/>
    <w:rsid w:val="00D0633B"/>
    <w:rsid w:val="00D06408"/>
    <w:rsid w:val="00D07EB1"/>
    <w:rsid w:val="00D07F12"/>
    <w:rsid w:val="00D10233"/>
    <w:rsid w:val="00D112CF"/>
    <w:rsid w:val="00D113A7"/>
    <w:rsid w:val="00D1152C"/>
    <w:rsid w:val="00D11B31"/>
    <w:rsid w:val="00D1243D"/>
    <w:rsid w:val="00D12841"/>
    <w:rsid w:val="00D12911"/>
    <w:rsid w:val="00D12BBD"/>
    <w:rsid w:val="00D13452"/>
    <w:rsid w:val="00D13C62"/>
    <w:rsid w:val="00D14628"/>
    <w:rsid w:val="00D16271"/>
    <w:rsid w:val="00D20468"/>
    <w:rsid w:val="00D21322"/>
    <w:rsid w:val="00D21672"/>
    <w:rsid w:val="00D22978"/>
    <w:rsid w:val="00D229AC"/>
    <w:rsid w:val="00D22D73"/>
    <w:rsid w:val="00D233EC"/>
    <w:rsid w:val="00D23B9E"/>
    <w:rsid w:val="00D244A9"/>
    <w:rsid w:val="00D24986"/>
    <w:rsid w:val="00D24AB6"/>
    <w:rsid w:val="00D251B8"/>
    <w:rsid w:val="00D263BD"/>
    <w:rsid w:val="00D266F9"/>
    <w:rsid w:val="00D268B2"/>
    <w:rsid w:val="00D26938"/>
    <w:rsid w:val="00D26D07"/>
    <w:rsid w:val="00D27108"/>
    <w:rsid w:val="00D2717C"/>
    <w:rsid w:val="00D277AC"/>
    <w:rsid w:val="00D30499"/>
    <w:rsid w:val="00D3054F"/>
    <w:rsid w:val="00D30AA6"/>
    <w:rsid w:val="00D30BA9"/>
    <w:rsid w:val="00D317D1"/>
    <w:rsid w:val="00D31E95"/>
    <w:rsid w:val="00D31F20"/>
    <w:rsid w:val="00D32949"/>
    <w:rsid w:val="00D32B82"/>
    <w:rsid w:val="00D32DEF"/>
    <w:rsid w:val="00D32F46"/>
    <w:rsid w:val="00D339E6"/>
    <w:rsid w:val="00D35803"/>
    <w:rsid w:val="00D35C0A"/>
    <w:rsid w:val="00D35FF2"/>
    <w:rsid w:val="00D367DF"/>
    <w:rsid w:val="00D36FF6"/>
    <w:rsid w:val="00D374BF"/>
    <w:rsid w:val="00D37609"/>
    <w:rsid w:val="00D3793C"/>
    <w:rsid w:val="00D37C47"/>
    <w:rsid w:val="00D37C61"/>
    <w:rsid w:val="00D407DE"/>
    <w:rsid w:val="00D4131E"/>
    <w:rsid w:val="00D41350"/>
    <w:rsid w:val="00D414E2"/>
    <w:rsid w:val="00D4156A"/>
    <w:rsid w:val="00D41678"/>
    <w:rsid w:val="00D4173A"/>
    <w:rsid w:val="00D41C78"/>
    <w:rsid w:val="00D427B9"/>
    <w:rsid w:val="00D43717"/>
    <w:rsid w:val="00D43B56"/>
    <w:rsid w:val="00D44D1A"/>
    <w:rsid w:val="00D451B2"/>
    <w:rsid w:val="00D45B94"/>
    <w:rsid w:val="00D45E1A"/>
    <w:rsid w:val="00D46EED"/>
    <w:rsid w:val="00D47496"/>
    <w:rsid w:val="00D50145"/>
    <w:rsid w:val="00D5018C"/>
    <w:rsid w:val="00D508B3"/>
    <w:rsid w:val="00D50C7A"/>
    <w:rsid w:val="00D50DA0"/>
    <w:rsid w:val="00D51BF3"/>
    <w:rsid w:val="00D524DA"/>
    <w:rsid w:val="00D527CB"/>
    <w:rsid w:val="00D53E99"/>
    <w:rsid w:val="00D5422A"/>
    <w:rsid w:val="00D5464E"/>
    <w:rsid w:val="00D5553F"/>
    <w:rsid w:val="00D556B6"/>
    <w:rsid w:val="00D55C74"/>
    <w:rsid w:val="00D56947"/>
    <w:rsid w:val="00D56AC0"/>
    <w:rsid w:val="00D57E23"/>
    <w:rsid w:val="00D57EB8"/>
    <w:rsid w:val="00D60448"/>
    <w:rsid w:val="00D606BA"/>
    <w:rsid w:val="00D631BE"/>
    <w:rsid w:val="00D63624"/>
    <w:rsid w:val="00D6383F"/>
    <w:rsid w:val="00D63871"/>
    <w:rsid w:val="00D639CA"/>
    <w:rsid w:val="00D63CDA"/>
    <w:rsid w:val="00D641FB"/>
    <w:rsid w:val="00D64B8E"/>
    <w:rsid w:val="00D64FC4"/>
    <w:rsid w:val="00D6584D"/>
    <w:rsid w:val="00D65C46"/>
    <w:rsid w:val="00D66704"/>
    <w:rsid w:val="00D67B46"/>
    <w:rsid w:val="00D702B4"/>
    <w:rsid w:val="00D70588"/>
    <w:rsid w:val="00D70BCA"/>
    <w:rsid w:val="00D70DCD"/>
    <w:rsid w:val="00D7211B"/>
    <w:rsid w:val="00D7217E"/>
    <w:rsid w:val="00D72737"/>
    <w:rsid w:val="00D72D76"/>
    <w:rsid w:val="00D73119"/>
    <w:rsid w:val="00D737AA"/>
    <w:rsid w:val="00D7385F"/>
    <w:rsid w:val="00D738C8"/>
    <w:rsid w:val="00D73EB6"/>
    <w:rsid w:val="00D74CF2"/>
    <w:rsid w:val="00D7507F"/>
    <w:rsid w:val="00D757C9"/>
    <w:rsid w:val="00D75B0C"/>
    <w:rsid w:val="00D75DAD"/>
    <w:rsid w:val="00D75DB3"/>
    <w:rsid w:val="00D8076B"/>
    <w:rsid w:val="00D81946"/>
    <w:rsid w:val="00D81AAC"/>
    <w:rsid w:val="00D82B01"/>
    <w:rsid w:val="00D82C66"/>
    <w:rsid w:val="00D8330B"/>
    <w:rsid w:val="00D83534"/>
    <w:rsid w:val="00D83FEF"/>
    <w:rsid w:val="00D845B4"/>
    <w:rsid w:val="00D846FB"/>
    <w:rsid w:val="00D84FB8"/>
    <w:rsid w:val="00D858A6"/>
    <w:rsid w:val="00D85B27"/>
    <w:rsid w:val="00D8639D"/>
    <w:rsid w:val="00D8705B"/>
    <w:rsid w:val="00D87261"/>
    <w:rsid w:val="00D87C94"/>
    <w:rsid w:val="00D90FDD"/>
    <w:rsid w:val="00D917A4"/>
    <w:rsid w:val="00D91FFC"/>
    <w:rsid w:val="00D928A5"/>
    <w:rsid w:val="00D929D4"/>
    <w:rsid w:val="00D92B4D"/>
    <w:rsid w:val="00D92F22"/>
    <w:rsid w:val="00D93246"/>
    <w:rsid w:val="00D94E3C"/>
    <w:rsid w:val="00D95DE0"/>
    <w:rsid w:val="00D962AE"/>
    <w:rsid w:val="00D966A1"/>
    <w:rsid w:val="00D96DE7"/>
    <w:rsid w:val="00DA04C9"/>
    <w:rsid w:val="00DA05B5"/>
    <w:rsid w:val="00DA10A9"/>
    <w:rsid w:val="00DA151A"/>
    <w:rsid w:val="00DA38AB"/>
    <w:rsid w:val="00DA3AAA"/>
    <w:rsid w:val="00DA4480"/>
    <w:rsid w:val="00DA4696"/>
    <w:rsid w:val="00DA50D1"/>
    <w:rsid w:val="00DA50D3"/>
    <w:rsid w:val="00DA5473"/>
    <w:rsid w:val="00DA58BA"/>
    <w:rsid w:val="00DA6B1C"/>
    <w:rsid w:val="00DA6C5E"/>
    <w:rsid w:val="00DA6CBC"/>
    <w:rsid w:val="00DA7EBA"/>
    <w:rsid w:val="00DB006A"/>
    <w:rsid w:val="00DB0115"/>
    <w:rsid w:val="00DB04D2"/>
    <w:rsid w:val="00DB15BE"/>
    <w:rsid w:val="00DB2081"/>
    <w:rsid w:val="00DB23C2"/>
    <w:rsid w:val="00DB382E"/>
    <w:rsid w:val="00DB4342"/>
    <w:rsid w:val="00DB440A"/>
    <w:rsid w:val="00DB4802"/>
    <w:rsid w:val="00DB4BCE"/>
    <w:rsid w:val="00DB4CA2"/>
    <w:rsid w:val="00DB4D83"/>
    <w:rsid w:val="00DB4E3B"/>
    <w:rsid w:val="00DB64C8"/>
    <w:rsid w:val="00DB69F9"/>
    <w:rsid w:val="00DB7091"/>
    <w:rsid w:val="00DC00E2"/>
    <w:rsid w:val="00DC017C"/>
    <w:rsid w:val="00DC0CA2"/>
    <w:rsid w:val="00DC1243"/>
    <w:rsid w:val="00DC12B4"/>
    <w:rsid w:val="00DC18CD"/>
    <w:rsid w:val="00DC31D9"/>
    <w:rsid w:val="00DC3E9A"/>
    <w:rsid w:val="00DC4043"/>
    <w:rsid w:val="00DC428A"/>
    <w:rsid w:val="00DC4847"/>
    <w:rsid w:val="00DC4883"/>
    <w:rsid w:val="00DC4C42"/>
    <w:rsid w:val="00DC505E"/>
    <w:rsid w:val="00DC593E"/>
    <w:rsid w:val="00DC621E"/>
    <w:rsid w:val="00DC67A9"/>
    <w:rsid w:val="00DC723B"/>
    <w:rsid w:val="00DC77F0"/>
    <w:rsid w:val="00DC7A02"/>
    <w:rsid w:val="00DD0B71"/>
    <w:rsid w:val="00DD10FC"/>
    <w:rsid w:val="00DD1B12"/>
    <w:rsid w:val="00DD1F2B"/>
    <w:rsid w:val="00DD24C8"/>
    <w:rsid w:val="00DD2F0A"/>
    <w:rsid w:val="00DD30FF"/>
    <w:rsid w:val="00DD3E73"/>
    <w:rsid w:val="00DD485A"/>
    <w:rsid w:val="00DD4C55"/>
    <w:rsid w:val="00DD5163"/>
    <w:rsid w:val="00DD5B3C"/>
    <w:rsid w:val="00DD5F09"/>
    <w:rsid w:val="00DD7C78"/>
    <w:rsid w:val="00DE0792"/>
    <w:rsid w:val="00DE1147"/>
    <w:rsid w:val="00DE1E65"/>
    <w:rsid w:val="00DE24E3"/>
    <w:rsid w:val="00DE2879"/>
    <w:rsid w:val="00DE2CFA"/>
    <w:rsid w:val="00DE2FE6"/>
    <w:rsid w:val="00DE4B0A"/>
    <w:rsid w:val="00DE63D4"/>
    <w:rsid w:val="00DE6664"/>
    <w:rsid w:val="00DE6667"/>
    <w:rsid w:val="00DE681A"/>
    <w:rsid w:val="00DE6855"/>
    <w:rsid w:val="00DE7734"/>
    <w:rsid w:val="00DE79C1"/>
    <w:rsid w:val="00DF030A"/>
    <w:rsid w:val="00DF0663"/>
    <w:rsid w:val="00DF1484"/>
    <w:rsid w:val="00DF1578"/>
    <w:rsid w:val="00DF19A2"/>
    <w:rsid w:val="00DF1ACE"/>
    <w:rsid w:val="00DF21A8"/>
    <w:rsid w:val="00DF2284"/>
    <w:rsid w:val="00DF2EAB"/>
    <w:rsid w:val="00DF3564"/>
    <w:rsid w:val="00DF35F3"/>
    <w:rsid w:val="00DF3AF7"/>
    <w:rsid w:val="00DF3F9D"/>
    <w:rsid w:val="00DF4AC0"/>
    <w:rsid w:val="00DF5054"/>
    <w:rsid w:val="00DF554F"/>
    <w:rsid w:val="00DF5688"/>
    <w:rsid w:val="00DF57F3"/>
    <w:rsid w:val="00DF5C89"/>
    <w:rsid w:val="00DF65FB"/>
    <w:rsid w:val="00DF7C6A"/>
    <w:rsid w:val="00DF7F0F"/>
    <w:rsid w:val="00E0074A"/>
    <w:rsid w:val="00E008CF"/>
    <w:rsid w:val="00E00FCE"/>
    <w:rsid w:val="00E0123E"/>
    <w:rsid w:val="00E013AD"/>
    <w:rsid w:val="00E018EF"/>
    <w:rsid w:val="00E024E7"/>
    <w:rsid w:val="00E034D8"/>
    <w:rsid w:val="00E043A2"/>
    <w:rsid w:val="00E04CB0"/>
    <w:rsid w:val="00E0532F"/>
    <w:rsid w:val="00E057C5"/>
    <w:rsid w:val="00E05AC7"/>
    <w:rsid w:val="00E05F3B"/>
    <w:rsid w:val="00E0686E"/>
    <w:rsid w:val="00E068A9"/>
    <w:rsid w:val="00E072AE"/>
    <w:rsid w:val="00E0737A"/>
    <w:rsid w:val="00E074D8"/>
    <w:rsid w:val="00E0753D"/>
    <w:rsid w:val="00E07F1A"/>
    <w:rsid w:val="00E1038F"/>
    <w:rsid w:val="00E11228"/>
    <w:rsid w:val="00E118B5"/>
    <w:rsid w:val="00E130D2"/>
    <w:rsid w:val="00E133CC"/>
    <w:rsid w:val="00E13706"/>
    <w:rsid w:val="00E13B4F"/>
    <w:rsid w:val="00E13B5F"/>
    <w:rsid w:val="00E13BD6"/>
    <w:rsid w:val="00E14C8A"/>
    <w:rsid w:val="00E15FB3"/>
    <w:rsid w:val="00E16E79"/>
    <w:rsid w:val="00E20646"/>
    <w:rsid w:val="00E20B26"/>
    <w:rsid w:val="00E2236F"/>
    <w:rsid w:val="00E22806"/>
    <w:rsid w:val="00E230B6"/>
    <w:rsid w:val="00E23BE4"/>
    <w:rsid w:val="00E2458E"/>
    <w:rsid w:val="00E249E0"/>
    <w:rsid w:val="00E25BF2"/>
    <w:rsid w:val="00E25C2A"/>
    <w:rsid w:val="00E26231"/>
    <w:rsid w:val="00E27367"/>
    <w:rsid w:val="00E27BE7"/>
    <w:rsid w:val="00E27D01"/>
    <w:rsid w:val="00E3038C"/>
    <w:rsid w:val="00E323BD"/>
    <w:rsid w:val="00E326FA"/>
    <w:rsid w:val="00E32B34"/>
    <w:rsid w:val="00E33CD5"/>
    <w:rsid w:val="00E353C7"/>
    <w:rsid w:val="00E359DF"/>
    <w:rsid w:val="00E359E1"/>
    <w:rsid w:val="00E363F2"/>
    <w:rsid w:val="00E36FE5"/>
    <w:rsid w:val="00E4017C"/>
    <w:rsid w:val="00E40259"/>
    <w:rsid w:val="00E403F6"/>
    <w:rsid w:val="00E40C1C"/>
    <w:rsid w:val="00E412B2"/>
    <w:rsid w:val="00E421EE"/>
    <w:rsid w:val="00E42B57"/>
    <w:rsid w:val="00E42C69"/>
    <w:rsid w:val="00E43383"/>
    <w:rsid w:val="00E44940"/>
    <w:rsid w:val="00E45356"/>
    <w:rsid w:val="00E45DD7"/>
    <w:rsid w:val="00E46621"/>
    <w:rsid w:val="00E46D84"/>
    <w:rsid w:val="00E4732A"/>
    <w:rsid w:val="00E47A9F"/>
    <w:rsid w:val="00E50A7E"/>
    <w:rsid w:val="00E50C81"/>
    <w:rsid w:val="00E51576"/>
    <w:rsid w:val="00E51703"/>
    <w:rsid w:val="00E517D6"/>
    <w:rsid w:val="00E51A84"/>
    <w:rsid w:val="00E51CEA"/>
    <w:rsid w:val="00E51EF3"/>
    <w:rsid w:val="00E51F59"/>
    <w:rsid w:val="00E524CD"/>
    <w:rsid w:val="00E52A55"/>
    <w:rsid w:val="00E52A6A"/>
    <w:rsid w:val="00E52E81"/>
    <w:rsid w:val="00E53711"/>
    <w:rsid w:val="00E53A6E"/>
    <w:rsid w:val="00E551B8"/>
    <w:rsid w:val="00E5537D"/>
    <w:rsid w:val="00E55626"/>
    <w:rsid w:val="00E55D45"/>
    <w:rsid w:val="00E5612C"/>
    <w:rsid w:val="00E561C0"/>
    <w:rsid w:val="00E562BA"/>
    <w:rsid w:val="00E5701E"/>
    <w:rsid w:val="00E57045"/>
    <w:rsid w:val="00E57CFE"/>
    <w:rsid w:val="00E603EA"/>
    <w:rsid w:val="00E61190"/>
    <w:rsid w:val="00E61442"/>
    <w:rsid w:val="00E626CC"/>
    <w:rsid w:val="00E62D48"/>
    <w:rsid w:val="00E63FE6"/>
    <w:rsid w:val="00E64157"/>
    <w:rsid w:val="00E642B7"/>
    <w:rsid w:val="00E64BA6"/>
    <w:rsid w:val="00E64FB0"/>
    <w:rsid w:val="00E65388"/>
    <w:rsid w:val="00E654E9"/>
    <w:rsid w:val="00E65602"/>
    <w:rsid w:val="00E6663C"/>
    <w:rsid w:val="00E66A2E"/>
    <w:rsid w:val="00E70E5E"/>
    <w:rsid w:val="00E71308"/>
    <w:rsid w:val="00E71574"/>
    <w:rsid w:val="00E71666"/>
    <w:rsid w:val="00E7176D"/>
    <w:rsid w:val="00E71AF7"/>
    <w:rsid w:val="00E72221"/>
    <w:rsid w:val="00E72253"/>
    <w:rsid w:val="00E724BB"/>
    <w:rsid w:val="00E72FAC"/>
    <w:rsid w:val="00E7321D"/>
    <w:rsid w:val="00E734E3"/>
    <w:rsid w:val="00E73F8B"/>
    <w:rsid w:val="00E74435"/>
    <w:rsid w:val="00E7454D"/>
    <w:rsid w:val="00E74736"/>
    <w:rsid w:val="00E74E3F"/>
    <w:rsid w:val="00E760A2"/>
    <w:rsid w:val="00E76960"/>
    <w:rsid w:val="00E76C96"/>
    <w:rsid w:val="00E76D72"/>
    <w:rsid w:val="00E76F3E"/>
    <w:rsid w:val="00E80AD4"/>
    <w:rsid w:val="00E8180D"/>
    <w:rsid w:val="00E81833"/>
    <w:rsid w:val="00E81ECD"/>
    <w:rsid w:val="00E82104"/>
    <w:rsid w:val="00E82307"/>
    <w:rsid w:val="00E83506"/>
    <w:rsid w:val="00E837BB"/>
    <w:rsid w:val="00E83F77"/>
    <w:rsid w:val="00E84062"/>
    <w:rsid w:val="00E8430F"/>
    <w:rsid w:val="00E84459"/>
    <w:rsid w:val="00E844AB"/>
    <w:rsid w:val="00E84F77"/>
    <w:rsid w:val="00E859CD"/>
    <w:rsid w:val="00E87108"/>
    <w:rsid w:val="00E8786D"/>
    <w:rsid w:val="00E87AAE"/>
    <w:rsid w:val="00E87D97"/>
    <w:rsid w:val="00E90537"/>
    <w:rsid w:val="00E908BB"/>
    <w:rsid w:val="00E90DE7"/>
    <w:rsid w:val="00E915F0"/>
    <w:rsid w:val="00E9210C"/>
    <w:rsid w:val="00E925D6"/>
    <w:rsid w:val="00E9278C"/>
    <w:rsid w:val="00E92A17"/>
    <w:rsid w:val="00E930F2"/>
    <w:rsid w:val="00E9331D"/>
    <w:rsid w:val="00E9337D"/>
    <w:rsid w:val="00E9383C"/>
    <w:rsid w:val="00E9388E"/>
    <w:rsid w:val="00E93C30"/>
    <w:rsid w:val="00E94B16"/>
    <w:rsid w:val="00E94B65"/>
    <w:rsid w:val="00E952E8"/>
    <w:rsid w:val="00E95B5F"/>
    <w:rsid w:val="00E9619B"/>
    <w:rsid w:val="00E975C7"/>
    <w:rsid w:val="00E97669"/>
    <w:rsid w:val="00EA0C11"/>
    <w:rsid w:val="00EA1682"/>
    <w:rsid w:val="00EA1D29"/>
    <w:rsid w:val="00EA1F7D"/>
    <w:rsid w:val="00EA2631"/>
    <w:rsid w:val="00EA2792"/>
    <w:rsid w:val="00EA2AF4"/>
    <w:rsid w:val="00EA2D1C"/>
    <w:rsid w:val="00EA3B71"/>
    <w:rsid w:val="00EA45DE"/>
    <w:rsid w:val="00EA45F1"/>
    <w:rsid w:val="00EA70F9"/>
    <w:rsid w:val="00EA75A8"/>
    <w:rsid w:val="00EB0823"/>
    <w:rsid w:val="00EB0C74"/>
    <w:rsid w:val="00EB0F7A"/>
    <w:rsid w:val="00EB11E5"/>
    <w:rsid w:val="00EB12D7"/>
    <w:rsid w:val="00EB2318"/>
    <w:rsid w:val="00EB34B1"/>
    <w:rsid w:val="00EB34BA"/>
    <w:rsid w:val="00EB3B06"/>
    <w:rsid w:val="00EB43B6"/>
    <w:rsid w:val="00EB5069"/>
    <w:rsid w:val="00EB5CCF"/>
    <w:rsid w:val="00EB5FDE"/>
    <w:rsid w:val="00EB7004"/>
    <w:rsid w:val="00EB73A9"/>
    <w:rsid w:val="00EB75A1"/>
    <w:rsid w:val="00EB7686"/>
    <w:rsid w:val="00EB7794"/>
    <w:rsid w:val="00EC03D6"/>
    <w:rsid w:val="00EC0EE4"/>
    <w:rsid w:val="00EC0F31"/>
    <w:rsid w:val="00EC0F7F"/>
    <w:rsid w:val="00EC12EA"/>
    <w:rsid w:val="00EC1BFA"/>
    <w:rsid w:val="00EC21E2"/>
    <w:rsid w:val="00EC2E10"/>
    <w:rsid w:val="00EC3E21"/>
    <w:rsid w:val="00EC3E61"/>
    <w:rsid w:val="00EC4424"/>
    <w:rsid w:val="00EC486A"/>
    <w:rsid w:val="00EC4B09"/>
    <w:rsid w:val="00EC4B15"/>
    <w:rsid w:val="00EC4FDB"/>
    <w:rsid w:val="00EC51F2"/>
    <w:rsid w:val="00EC5430"/>
    <w:rsid w:val="00EC5D67"/>
    <w:rsid w:val="00EC618B"/>
    <w:rsid w:val="00EC6206"/>
    <w:rsid w:val="00EC6DFF"/>
    <w:rsid w:val="00EC772B"/>
    <w:rsid w:val="00EC7732"/>
    <w:rsid w:val="00ED0800"/>
    <w:rsid w:val="00ED0C54"/>
    <w:rsid w:val="00ED10A6"/>
    <w:rsid w:val="00ED15BC"/>
    <w:rsid w:val="00ED170C"/>
    <w:rsid w:val="00ED212F"/>
    <w:rsid w:val="00ED236A"/>
    <w:rsid w:val="00ED2517"/>
    <w:rsid w:val="00ED25D2"/>
    <w:rsid w:val="00ED316E"/>
    <w:rsid w:val="00ED3314"/>
    <w:rsid w:val="00ED33FE"/>
    <w:rsid w:val="00ED3B94"/>
    <w:rsid w:val="00ED3E55"/>
    <w:rsid w:val="00ED429C"/>
    <w:rsid w:val="00ED457F"/>
    <w:rsid w:val="00ED5994"/>
    <w:rsid w:val="00ED5DF0"/>
    <w:rsid w:val="00ED6389"/>
    <w:rsid w:val="00ED7028"/>
    <w:rsid w:val="00ED79B6"/>
    <w:rsid w:val="00EE2012"/>
    <w:rsid w:val="00EE27F6"/>
    <w:rsid w:val="00EE34A6"/>
    <w:rsid w:val="00EE3CED"/>
    <w:rsid w:val="00EE4313"/>
    <w:rsid w:val="00EE4963"/>
    <w:rsid w:val="00EE5B04"/>
    <w:rsid w:val="00EE5B0F"/>
    <w:rsid w:val="00EE5C84"/>
    <w:rsid w:val="00EE6567"/>
    <w:rsid w:val="00EE656F"/>
    <w:rsid w:val="00EE6804"/>
    <w:rsid w:val="00EE6918"/>
    <w:rsid w:val="00EE7031"/>
    <w:rsid w:val="00EE7249"/>
    <w:rsid w:val="00EE7368"/>
    <w:rsid w:val="00EE7689"/>
    <w:rsid w:val="00EE7FD7"/>
    <w:rsid w:val="00EF0186"/>
    <w:rsid w:val="00EF0921"/>
    <w:rsid w:val="00EF09F5"/>
    <w:rsid w:val="00EF0FD8"/>
    <w:rsid w:val="00EF2CE3"/>
    <w:rsid w:val="00EF470E"/>
    <w:rsid w:val="00EF4989"/>
    <w:rsid w:val="00EF4CD7"/>
    <w:rsid w:val="00EF614B"/>
    <w:rsid w:val="00EF6864"/>
    <w:rsid w:val="00EF74AB"/>
    <w:rsid w:val="00EF764B"/>
    <w:rsid w:val="00F00BDB"/>
    <w:rsid w:val="00F01595"/>
    <w:rsid w:val="00F02282"/>
    <w:rsid w:val="00F030D8"/>
    <w:rsid w:val="00F036DE"/>
    <w:rsid w:val="00F03D5A"/>
    <w:rsid w:val="00F04331"/>
    <w:rsid w:val="00F04953"/>
    <w:rsid w:val="00F04BC0"/>
    <w:rsid w:val="00F056ED"/>
    <w:rsid w:val="00F05825"/>
    <w:rsid w:val="00F05CD5"/>
    <w:rsid w:val="00F05DF0"/>
    <w:rsid w:val="00F074F0"/>
    <w:rsid w:val="00F10795"/>
    <w:rsid w:val="00F10B29"/>
    <w:rsid w:val="00F10BF0"/>
    <w:rsid w:val="00F11167"/>
    <w:rsid w:val="00F1228A"/>
    <w:rsid w:val="00F12730"/>
    <w:rsid w:val="00F12784"/>
    <w:rsid w:val="00F128FA"/>
    <w:rsid w:val="00F12B99"/>
    <w:rsid w:val="00F12E4A"/>
    <w:rsid w:val="00F1340B"/>
    <w:rsid w:val="00F140B3"/>
    <w:rsid w:val="00F140F0"/>
    <w:rsid w:val="00F14224"/>
    <w:rsid w:val="00F14535"/>
    <w:rsid w:val="00F14A3D"/>
    <w:rsid w:val="00F14D67"/>
    <w:rsid w:val="00F14D8A"/>
    <w:rsid w:val="00F15780"/>
    <w:rsid w:val="00F159BA"/>
    <w:rsid w:val="00F15BB3"/>
    <w:rsid w:val="00F15DF3"/>
    <w:rsid w:val="00F164A1"/>
    <w:rsid w:val="00F17E3D"/>
    <w:rsid w:val="00F20B9D"/>
    <w:rsid w:val="00F21AA1"/>
    <w:rsid w:val="00F21B1C"/>
    <w:rsid w:val="00F225A5"/>
    <w:rsid w:val="00F22B18"/>
    <w:rsid w:val="00F22BBB"/>
    <w:rsid w:val="00F22FB4"/>
    <w:rsid w:val="00F233D6"/>
    <w:rsid w:val="00F242D0"/>
    <w:rsid w:val="00F24B94"/>
    <w:rsid w:val="00F24BF8"/>
    <w:rsid w:val="00F25DFA"/>
    <w:rsid w:val="00F2643B"/>
    <w:rsid w:val="00F26981"/>
    <w:rsid w:val="00F26BD4"/>
    <w:rsid w:val="00F27AD4"/>
    <w:rsid w:val="00F27FA2"/>
    <w:rsid w:val="00F30438"/>
    <w:rsid w:val="00F305D8"/>
    <w:rsid w:val="00F30E99"/>
    <w:rsid w:val="00F30EC1"/>
    <w:rsid w:val="00F31A0E"/>
    <w:rsid w:val="00F31B6F"/>
    <w:rsid w:val="00F31E75"/>
    <w:rsid w:val="00F32469"/>
    <w:rsid w:val="00F32F92"/>
    <w:rsid w:val="00F33152"/>
    <w:rsid w:val="00F33293"/>
    <w:rsid w:val="00F33315"/>
    <w:rsid w:val="00F34C88"/>
    <w:rsid w:val="00F34D71"/>
    <w:rsid w:val="00F36279"/>
    <w:rsid w:val="00F36576"/>
    <w:rsid w:val="00F37C6C"/>
    <w:rsid w:val="00F40062"/>
    <w:rsid w:val="00F41650"/>
    <w:rsid w:val="00F418E9"/>
    <w:rsid w:val="00F41A23"/>
    <w:rsid w:val="00F41D77"/>
    <w:rsid w:val="00F42048"/>
    <w:rsid w:val="00F420A0"/>
    <w:rsid w:val="00F42D4D"/>
    <w:rsid w:val="00F43080"/>
    <w:rsid w:val="00F43345"/>
    <w:rsid w:val="00F43B47"/>
    <w:rsid w:val="00F43CCA"/>
    <w:rsid w:val="00F43F24"/>
    <w:rsid w:val="00F43FD3"/>
    <w:rsid w:val="00F44435"/>
    <w:rsid w:val="00F448F5"/>
    <w:rsid w:val="00F45177"/>
    <w:rsid w:val="00F451D0"/>
    <w:rsid w:val="00F45808"/>
    <w:rsid w:val="00F45D61"/>
    <w:rsid w:val="00F46006"/>
    <w:rsid w:val="00F4668E"/>
    <w:rsid w:val="00F46A91"/>
    <w:rsid w:val="00F47AEA"/>
    <w:rsid w:val="00F51920"/>
    <w:rsid w:val="00F52199"/>
    <w:rsid w:val="00F52496"/>
    <w:rsid w:val="00F52ACD"/>
    <w:rsid w:val="00F531C0"/>
    <w:rsid w:val="00F5331D"/>
    <w:rsid w:val="00F53AB1"/>
    <w:rsid w:val="00F53C2E"/>
    <w:rsid w:val="00F545F2"/>
    <w:rsid w:val="00F5522D"/>
    <w:rsid w:val="00F5582E"/>
    <w:rsid w:val="00F55D93"/>
    <w:rsid w:val="00F5706C"/>
    <w:rsid w:val="00F57247"/>
    <w:rsid w:val="00F5782B"/>
    <w:rsid w:val="00F57AFC"/>
    <w:rsid w:val="00F57F7F"/>
    <w:rsid w:val="00F609C9"/>
    <w:rsid w:val="00F61993"/>
    <w:rsid w:val="00F61DE1"/>
    <w:rsid w:val="00F62666"/>
    <w:rsid w:val="00F62C67"/>
    <w:rsid w:val="00F62EEA"/>
    <w:rsid w:val="00F6338F"/>
    <w:rsid w:val="00F647F9"/>
    <w:rsid w:val="00F655EC"/>
    <w:rsid w:val="00F65857"/>
    <w:rsid w:val="00F65E62"/>
    <w:rsid w:val="00F67476"/>
    <w:rsid w:val="00F707D3"/>
    <w:rsid w:val="00F72070"/>
    <w:rsid w:val="00F72400"/>
    <w:rsid w:val="00F72609"/>
    <w:rsid w:val="00F72775"/>
    <w:rsid w:val="00F7299F"/>
    <w:rsid w:val="00F73408"/>
    <w:rsid w:val="00F745E5"/>
    <w:rsid w:val="00F74623"/>
    <w:rsid w:val="00F7467F"/>
    <w:rsid w:val="00F758C6"/>
    <w:rsid w:val="00F75A34"/>
    <w:rsid w:val="00F75B4C"/>
    <w:rsid w:val="00F75C24"/>
    <w:rsid w:val="00F763A8"/>
    <w:rsid w:val="00F773DC"/>
    <w:rsid w:val="00F77C94"/>
    <w:rsid w:val="00F77CC2"/>
    <w:rsid w:val="00F80014"/>
    <w:rsid w:val="00F80E34"/>
    <w:rsid w:val="00F81516"/>
    <w:rsid w:val="00F81523"/>
    <w:rsid w:val="00F81724"/>
    <w:rsid w:val="00F82CE4"/>
    <w:rsid w:val="00F82CE6"/>
    <w:rsid w:val="00F83130"/>
    <w:rsid w:val="00F831EF"/>
    <w:rsid w:val="00F83C9E"/>
    <w:rsid w:val="00F83D1C"/>
    <w:rsid w:val="00F846A7"/>
    <w:rsid w:val="00F84C73"/>
    <w:rsid w:val="00F84FAE"/>
    <w:rsid w:val="00F85488"/>
    <w:rsid w:val="00F855DD"/>
    <w:rsid w:val="00F85AD0"/>
    <w:rsid w:val="00F86398"/>
    <w:rsid w:val="00F8657A"/>
    <w:rsid w:val="00F908AB"/>
    <w:rsid w:val="00F91C33"/>
    <w:rsid w:val="00F91C42"/>
    <w:rsid w:val="00F9257E"/>
    <w:rsid w:val="00F92948"/>
    <w:rsid w:val="00F92A8C"/>
    <w:rsid w:val="00F93867"/>
    <w:rsid w:val="00F93AFB"/>
    <w:rsid w:val="00F9447E"/>
    <w:rsid w:val="00F945A7"/>
    <w:rsid w:val="00F94819"/>
    <w:rsid w:val="00F951A7"/>
    <w:rsid w:val="00F9551E"/>
    <w:rsid w:val="00F978E9"/>
    <w:rsid w:val="00F97E0B"/>
    <w:rsid w:val="00FA0F9F"/>
    <w:rsid w:val="00FA2233"/>
    <w:rsid w:val="00FA227F"/>
    <w:rsid w:val="00FA2ACB"/>
    <w:rsid w:val="00FA2EC7"/>
    <w:rsid w:val="00FA2FDC"/>
    <w:rsid w:val="00FA331F"/>
    <w:rsid w:val="00FA3706"/>
    <w:rsid w:val="00FA38D8"/>
    <w:rsid w:val="00FA3BA0"/>
    <w:rsid w:val="00FA3FBF"/>
    <w:rsid w:val="00FA43A7"/>
    <w:rsid w:val="00FA561D"/>
    <w:rsid w:val="00FA6512"/>
    <w:rsid w:val="00FA6FE9"/>
    <w:rsid w:val="00FA702D"/>
    <w:rsid w:val="00FA719E"/>
    <w:rsid w:val="00FA7E20"/>
    <w:rsid w:val="00FB027D"/>
    <w:rsid w:val="00FB0858"/>
    <w:rsid w:val="00FB0C11"/>
    <w:rsid w:val="00FB131D"/>
    <w:rsid w:val="00FB21AD"/>
    <w:rsid w:val="00FB2F41"/>
    <w:rsid w:val="00FB34E1"/>
    <w:rsid w:val="00FB3836"/>
    <w:rsid w:val="00FB51BC"/>
    <w:rsid w:val="00FB52E5"/>
    <w:rsid w:val="00FB53B3"/>
    <w:rsid w:val="00FB5606"/>
    <w:rsid w:val="00FB579C"/>
    <w:rsid w:val="00FB57B5"/>
    <w:rsid w:val="00FB6596"/>
    <w:rsid w:val="00FB6F0A"/>
    <w:rsid w:val="00FC2184"/>
    <w:rsid w:val="00FC22D1"/>
    <w:rsid w:val="00FC2AC3"/>
    <w:rsid w:val="00FC2F56"/>
    <w:rsid w:val="00FC307D"/>
    <w:rsid w:val="00FC4647"/>
    <w:rsid w:val="00FC4C13"/>
    <w:rsid w:val="00FC5E74"/>
    <w:rsid w:val="00FC6046"/>
    <w:rsid w:val="00FC625E"/>
    <w:rsid w:val="00FC6C5C"/>
    <w:rsid w:val="00FC7E1F"/>
    <w:rsid w:val="00FD05FB"/>
    <w:rsid w:val="00FD0927"/>
    <w:rsid w:val="00FD0A1D"/>
    <w:rsid w:val="00FD1072"/>
    <w:rsid w:val="00FD12BC"/>
    <w:rsid w:val="00FD14CA"/>
    <w:rsid w:val="00FD1A59"/>
    <w:rsid w:val="00FD25AB"/>
    <w:rsid w:val="00FD2682"/>
    <w:rsid w:val="00FD3526"/>
    <w:rsid w:val="00FD37F2"/>
    <w:rsid w:val="00FD3A08"/>
    <w:rsid w:val="00FD42A4"/>
    <w:rsid w:val="00FD4AF5"/>
    <w:rsid w:val="00FD5276"/>
    <w:rsid w:val="00FD5D09"/>
    <w:rsid w:val="00FD6F70"/>
    <w:rsid w:val="00FD72E7"/>
    <w:rsid w:val="00FD7519"/>
    <w:rsid w:val="00FE00A8"/>
    <w:rsid w:val="00FE090B"/>
    <w:rsid w:val="00FE22E2"/>
    <w:rsid w:val="00FE2937"/>
    <w:rsid w:val="00FE29FE"/>
    <w:rsid w:val="00FE2C3E"/>
    <w:rsid w:val="00FE34A0"/>
    <w:rsid w:val="00FE4095"/>
    <w:rsid w:val="00FE51C3"/>
    <w:rsid w:val="00FE6E82"/>
    <w:rsid w:val="00FE7CF5"/>
    <w:rsid w:val="00FE7D0C"/>
    <w:rsid w:val="00FF03E2"/>
    <w:rsid w:val="00FF063B"/>
    <w:rsid w:val="00FF0920"/>
    <w:rsid w:val="00FF0E30"/>
    <w:rsid w:val="00FF16A7"/>
    <w:rsid w:val="00FF1989"/>
    <w:rsid w:val="00FF2033"/>
    <w:rsid w:val="00FF25C2"/>
    <w:rsid w:val="00FF313A"/>
    <w:rsid w:val="00FF323A"/>
    <w:rsid w:val="00FF378D"/>
    <w:rsid w:val="00FF3A22"/>
    <w:rsid w:val="00FF3D9C"/>
    <w:rsid w:val="00FF40EB"/>
    <w:rsid w:val="00FF419F"/>
    <w:rsid w:val="00FF5211"/>
    <w:rsid w:val="00FF544D"/>
    <w:rsid w:val="00FF5639"/>
    <w:rsid w:val="00FF5DF5"/>
    <w:rsid w:val="00FF5EB3"/>
    <w:rsid w:val="00FF6120"/>
    <w:rsid w:val="00FF6655"/>
    <w:rsid w:val="00FF6962"/>
    <w:rsid w:val="00FF6A62"/>
    <w:rsid w:val="00FF6DD8"/>
    <w:rsid w:val="00FF7511"/>
    <w:rsid w:val="45FB73F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EFAFB"/>
  <w15:docId w15:val="{9D93D9EA-557E-4530-9FAF-B43848DB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A5C"/>
    <w:pPr>
      <w:spacing w:after="200" w:line="276" w:lineRule="auto"/>
    </w:pPr>
    <w:rPr>
      <w:sz w:val="22"/>
      <w:szCs w:val="22"/>
      <w:lang w:eastAsia="en-US"/>
    </w:rPr>
  </w:style>
  <w:style w:type="paragraph" w:styleId="Heading1">
    <w:name w:val="heading 1"/>
    <w:basedOn w:val="Normal"/>
    <w:next w:val="Normal"/>
    <w:link w:val="Heading1Char"/>
    <w:uiPriority w:val="9"/>
    <w:qFormat/>
    <w:rsid w:val="008C3E3E"/>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sion1">
    <w:name w:val="Revision1"/>
    <w:hidden/>
    <w:uiPriority w:val="99"/>
    <w:semiHidden/>
    <w:rsid w:val="00A869B3"/>
    <w:rPr>
      <w:sz w:val="22"/>
      <w:szCs w:val="22"/>
      <w:lang w:eastAsia="en-US"/>
    </w:rPr>
  </w:style>
  <w:style w:type="paragraph" w:customStyle="1" w:styleId="Title1">
    <w:name w:val="Title 1"/>
    <w:basedOn w:val="Normal"/>
    <w:autoRedefine/>
    <w:rsid w:val="00A869B3"/>
    <w:pPr>
      <w:keepNext/>
      <w:tabs>
        <w:tab w:val="left" w:pos="0"/>
        <w:tab w:val="left" w:pos="293"/>
        <w:tab w:val="left" w:pos="720"/>
      </w:tabs>
      <w:autoSpaceDE w:val="0"/>
      <w:autoSpaceDN w:val="0"/>
      <w:adjustRightInd w:val="0"/>
      <w:spacing w:after="0" w:line="240" w:lineRule="auto"/>
      <w:jc w:val="both"/>
    </w:pPr>
    <w:rPr>
      <w:rFonts w:ascii="Times New Roman" w:eastAsia="Times New Roman" w:hAnsi="Times New Roman"/>
      <w:b/>
      <w:color w:val="000000"/>
      <w:sz w:val="24"/>
      <w:szCs w:val="24"/>
      <w:lang w:eastAsia="en-GB"/>
    </w:rPr>
  </w:style>
  <w:style w:type="paragraph" w:customStyle="1" w:styleId="Default">
    <w:name w:val="Default"/>
    <w:basedOn w:val="Normal"/>
    <w:rsid w:val="0014116F"/>
    <w:pPr>
      <w:spacing w:after="0" w:line="240" w:lineRule="auto"/>
    </w:pPr>
    <w:rPr>
      <w:rFonts w:ascii="Times New Roman" w:eastAsia="Times New Roman" w:hAnsi="Times New Roman"/>
      <w:color w:val="000000"/>
      <w:sz w:val="24"/>
      <w:szCs w:val="24"/>
      <w:lang w:val="en-GB" w:eastAsia="en-GB"/>
    </w:rPr>
  </w:style>
  <w:style w:type="character" w:styleId="CommentReference">
    <w:name w:val="annotation reference"/>
    <w:unhideWhenUsed/>
    <w:rsid w:val="0066294B"/>
    <w:rPr>
      <w:sz w:val="16"/>
      <w:szCs w:val="16"/>
    </w:rPr>
  </w:style>
  <w:style w:type="paragraph" w:styleId="CommentText">
    <w:name w:val="annotation text"/>
    <w:basedOn w:val="Normal"/>
    <w:link w:val="CommentTextChar"/>
    <w:unhideWhenUsed/>
    <w:rsid w:val="0066294B"/>
    <w:pPr>
      <w:spacing w:after="0" w:line="240" w:lineRule="auto"/>
    </w:pPr>
    <w:rPr>
      <w:sz w:val="20"/>
      <w:szCs w:val="20"/>
      <w:lang w:eastAsia="lt-LT"/>
    </w:rPr>
  </w:style>
  <w:style w:type="character" w:customStyle="1" w:styleId="CommentTextChar">
    <w:name w:val="Comment Text Char"/>
    <w:basedOn w:val="DefaultParagraphFont"/>
    <w:link w:val="CommentText"/>
    <w:rsid w:val="0066294B"/>
  </w:style>
  <w:style w:type="paragraph" w:styleId="HTMLPreformatted">
    <w:name w:val="HTML Preformatted"/>
    <w:basedOn w:val="Normal"/>
    <w:link w:val="HTMLPreformattedChar"/>
    <w:unhideWhenUsed/>
    <w:rsid w:val="00662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sz w:val="20"/>
      <w:szCs w:val="20"/>
      <w:lang w:val="x-none" w:eastAsia="x-none"/>
    </w:rPr>
  </w:style>
  <w:style w:type="character" w:customStyle="1" w:styleId="HTMLPreformattedChar">
    <w:name w:val="HTML Preformatted Char"/>
    <w:link w:val="HTMLPreformatted"/>
    <w:rsid w:val="0066294B"/>
    <w:rPr>
      <w:rFonts w:ascii="Courier New" w:eastAsia="Times New Roman" w:hAnsi="Courier New" w:cs="Courier New"/>
    </w:rPr>
  </w:style>
  <w:style w:type="paragraph" w:styleId="BalloonText">
    <w:name w:val="Balloon Text"/>
    <w:basedOn w:val="Normal"/>
    <w:link w:val="BalloonTextChar"/>
    <w:uiPriority w:val="99"/>
    <w:semiHidden/>
    <w:unhideWhenUsed/>
    <w:rsid w:val="0066294B"/>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66294B"/>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0A2F8A"/>
    <w:pPr>
      <w:spacing w:after="200" w:line="276" w:lineRule="auto"/>
    </w:pPr>
    <w:rPr>
      <w:b/>
      <w:bCs/>
      <w:lang w:val="x-none" w:eastAsia="en-US"/>
    </w:rPr>
  </w:style>
  <w:style w:type="character" w:customStyle="1" w:styleId="CommentSubjectChar">
    <w:name w:val="Comment Subject Char"/>
    <w:link w:val="CommentSubject"/>
    <w:uiPriority w:val="99"/>
    <w:semiHidden/>
    <w:rsid w:val="000A2F8A"/>
    <w:rPr>
      <w:b/>
      <w:bCs/>
      <w:lang w:eastAsia="en-US"/>
    </w:rPr>
  </w:style>
  <w:style w:type="character" w:customStyle="1" w:styleId="Title10">
    <w:name w:val="Title1"/>
    <w:basedOn w:val="DefaultParagraphFont"/>
    <w:rsid w:val="00670288"/>
  </w:style>
  <w:style w:type="character" w:styleId="Hyperlink">
    <w:name w:val="Hyperlink"/>
    <w:uiPriority w:val="99"/>
    <w:unhideWhenUsed/>
    <w:rsid w:val="00704F71"/>
    <w:rPr>
      <w:color w:val="000000"/>
      <w:u w:val="single"/>
    </w:rPr>
  </w:style>
  <w:style w:type="character" w:styleId="PageNumber">
    <w:name w:val="page number"/>
    <w:basedOn w:val="DefaultParagraphFont"/>
    <w:uiPriority w:val="99"/>
    <w:semiHidden/>
    <w:unhideWhenUsed/>
    <w:rsid w:val="00704F71"/>
  </w:style>
  <w:style w:type="paragraph" w:styleId="Header">
    <w:name w:val="header"/>
    <w:basedOn w:val="Normal"/>
    <w:link w:val="HeaderChar"/>
    <w:uiPriority w:val="99"/>
    <w:unhideWhenUsed/>
    <w:rsid w:val="004F3A32"/>
    <w:pPr>
      <w:tabs>
        <w:tab w:val="center" w:pos="4819"/>
        <w:tab w:val="right" w:pos="9638"/>
      </w:tabs>
    </w:pPr>
    <w:rPr>
      <w:lang w:val="x-none"/>
    </w:rPr>
  </w:style>
  <w:style w:type="character" w:customStyle="1" w:styleId="HeaderChar">
    <w:name w:val="Header Char"/>
    <w:link w:val="Header"/>
    <w:uiPriority w:val="99"/>
    <w:rsid w:val="004F3A32"/>
    <w:rPr>
      <w:sz w:val="22"/>
      <w:szCs w:val="22"/>
      <w:lang w:eastAsia="en-US"/>
    </w:rPr>
  </w:style>
  <w:style w:type="paragraph" w:styleId="Footer">
    <w:name w:val="footer"/>
    <w:basedOn w:val="Normal"/>
    <w:link w:val="FooterChar"/>
    <w:uiPriority w:val="99"/>
    <w:unhideWhenUsed/>
    <w:rsid w:val="004F3A32"/>
    <w:pPr>
      <w:tabs>
        <w:tab w:val="center" w:pos="4819"/>
        <w:tab w:val="right" w:pos="9638"/>
      </w:tabs>
    </w:pPr>
    <w:rPr>
      <w:lang w:val="x-none"/>
    </w:rPr>
  </w:style>
  <w:style w:type="character" w:customStyle="1" w:styleId="FooterChar">
    <w:name w:val="Footer Char"/>
    <w:link w:val="Footer"/>
    <w:uiPriority w:val="99"/>
    <w:rsid w:val="004F3A32"/>
    <w:rPr>
      <w:sz w:val="22"/>
      <w:szCs w:val="22"/>
      <w:lang w:eastAsia="en-US"/>
    </w:rPr>
  </w:style>
  <w:style w:type="character" w:customStyle="1" w:styleId="st1">
    <w:name w:val="st1"/>
    <w:basedOn w:val="DefaultParagraphFont"/>
    <w:rsid w:val="0035511D"/>
  </w:style>
  <w:style w:type="character" w:customStyle="1" w:styleId="hps">
    <w:name w:val="hps"/>
    <w:basedOn w:val="DefaultParagraphFont"/>
    <w:rsid w:val="00D32B82"/>
  </w:style>
  <w:style w:type="character" w:customStyle="1" w:styleId="hpsatn">
    <w:name w:val="hps atn"/>
    <w:basedOn w:val="DefaultParagraphFont"/>
    <w:rsid w:val="00223455"/>
  </w:style>
  <w:style w:type="character" w:customStyle="1" w:styleId="shorttext">
    <w:name w:val="short_text"/>
    <w:basedOn w:val="DefaultParagraphFont"/>
    <w:rsid w:val="0012498F"/>
  </w:style>
  <w:style w:type="paragraph" w:styleId="BodyText">
    <w:name w:val="Body Text"/>
    <w:basedOn w:val="Normal"/>
    <w:rsid w:val="008552C6"/>
    <w:pPr>
      <w:spacing w:before="100" w:beforeAutospacing="1" w:after="100" w:afterAutospacing="1" w:line="240" w:lineRule="auto"/>
    </w:pPr>
    <w:rPr>
      <w:rFonts w:ascii="Times New Roman" w:eastAsia="MS Mincho" w:hAnsi="Times New Roman"/>
      <w:sz w:val="24"/>
      <w:szCs w:val="24"/>
      <w:lang w:eastAsia="ja-JP"/>
    </w:rPr>
  </w:style>
  <w:style w:type="character" w:styleId="Strong">
    <w:name w:val="Strong"/>
    <w:qFormat/>
    <w:rsid w:val="004D3BB9"/>
    <w:rPr>
      <w:b/>
      <w:bCs/>
    </w:rPr>
  </w:style>
  <w:style w:type="paragraph" w:customStyle="1" w:styleId="Revision2">
    <w:name w:val="Revision2"/>
    <w:hidden/>
    <w:uiPriority w:val="71"/>
    <w:rsid w:val="00A2116F"/>
    <w:rPr>
      <w:sz w:val="22"/>
      <w:szCs w:val="22"/>
      <w:lang w:eastAsia="en-US"/>
    </w:rPr>
  </w:style>
  <w:style w:type="character" w:customStyle="1" w:styleId="statymonr">
    <w:name w:val="statymonr"/>
    <w:rsid w:val="00DC67A9"/>
  </w:style>
  <w:style w:type="paragraph" w:customStyle="1" w:styleId="ListParagraph1">
    <w:name w:val="List Paragraph1"/>
    <w:basedOn w:val="Normal"/>
    <w:uiPriority w:val="34"/>
    <w:qFormat/>
    <w:rsid w:val="008A781C"/>
    <w:pPr>
      <w:ind w:left="720"/>
      <w:contextualSpacing/>
    </w:pPr>
  </w:style>
  <w:style w:type="character" w:customStyle="1" w:styleId="Pavadinimas1">
    <w:name w:val="Pavadinimas1"/>
    <w:rsid w:val="00AC7E68"/>
  </w:style>
  <w:style w:type="paragraph" w:styleId="Revision">
    <w:name w:val="Revision"/>
    <w:hidden/>
    <w:uiPriority w:val="99"/>
    <w:semiHidden/>
    <w:rsid w:val="00E50A7E"/>
    <w:rPr>
      <w:sz w:val="22"/>
      <w:szCs w:val="22"/>
      <w:lang w:eastAsia="en-US"/>
    </w:rPr>
  </w:style>
  <w:style w:type="table" w:styleId="TableGrid">
    <w:name w:val="Table Grid"/>
    <w:basedOn w:val="TableNormal"/>
    <w:uiPriority w:val="59"/>
    <w:rsid w:val="00D73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665DC9"/>
    <w:rPr>
      <w:color w:val="800080"/>
      <w:u w:val="single"/>
    </w:rPr>
  </w:style>
  <w:style w:type="paragraph" w:styleId="NormalWeb">
    <w:name w:val="Normal (Web)"/>
    <w:basedOn w:val="Normal"/>
    <w:uiPriority w:val="99"/>
    <w:unhideWhenUsed/>
    <w:rsid w:val="002E6C8A"/>
    <w:pPr>
      <w:spacing w:before="100" w:beforeAutospacing="1" w:after="100" w:afterAutospacing="1" w:line="240" w:lineRule="auto"/>
    </w:pPr>
    <w:rPr>
      <w:rFonts w:ascii="Times New Roman" w:eastAsia="Times New Roman" w:hAnsi="Times New Roman"/>
      <w:sz w:val="24"/>
      <w:szCs w:val="24"/>
      <w:lang w:eastAsia="lt-LT"/>
    </w:rPr>
  </w:style>
  <w:style w:type="paragraph" w:styleId="ListParagraph">
    <w:name w:val="List Paragraph"/>
    <w:basedOn w:val="Normal"/>
    <w:uiPriority w:val="34"/>
    <w:qFormat/>
    <w:rsid w:val="00BD56A9"/>
    <w:pPr>
      <w:ind w:left="720"/>
      <w:contextualSpacing/>
    </w:pPr>
  </w:style>
  <w:style w:type="paragraph" w:customStyle="1" w:styleId="tajtip">
    <w:name w:val="tajtip"/>
    <w:basedOn w:val="Normal"/>
    <w:rsid w:val="006F2AAE"/>
    <w:pPr>
      <w:spacing w:after="150" w:line="240" w:lineRule="auto"/>
    </w:pPr>
    <w:rPr>
      <w:rFonts w:ascii="Times New Roman" w:eastAsia="Times New Roman" w:hAnsi="Times New Roman"/>
      <w:sz w:val="24"/>
      <w:szCs w:val="24"/>
      <w:lang w:eastAsia="lt-LT"/>
    </w:rPr>
  </w:style>
  <w:style w:type="paragraph" w:customStyle="1" w:styleId="tartip">
    <w:name w:val="tartip"/>
    <w:basedOn w:val="Normal"/>
    <w:rsid w:val="006F2AAE"/>
    <w:pPr>
      <w:spacing w:after="150" w:line="240" w:lineRule="auto"/>
    </w:pPr>
    <w:rPr>
      <w:rFonts w:ascii="Times New Roman" w:eastAsia="Times New Roman" w:hAnsi="Times New Roman"/>
      <w:sz w:val="24"/>
      <w:szCs w:val="24"/>
      <w:lang w:eastAsia="lt-LT"/>
    </w:rPr>
  </w:style>
  <w:style w:type="character" w:customStyle="1" w:styleId="Heading1Char">
    <w:name w:val="Heading 1 Char"/>
    <w:link w:val="Heading1"/>
    <w:uiPriority w:val="9"/>
    <w:rsid w:val="008C3E3E"/>
    <w:rPr>
      <w:rFonts w:ascii="Calibri Light" w:eastAsia="Times New Roman" w:hAnsi="Calibri Light" w:cs="Times New Roman"/>
      <w:b/>
      <w:bCs/>
      <w:kern w:val="32"/>
      <w:sz w:val="32"/>
      <w:szCs w:val="32"/>
      <w:lang w:eastAsia="en-US"/>
    </w:rPr>
  </w:style>
  <w:style w:type="paragraph" w:styleId="FootnoteText">
    <w:name w:val="footnote text"/>
    <w:basedOn w:val="Normal"/>
    <w:link w:val="FootnoteTextChar"/>
    <w:uiPriority w:val="99"/>
    <w:unhideWhenUsed/>
    <w:rsid w:val="004308ED"/>
    <w:rPr>
      <w:sz w:val="20"/>
      <w:szCs w:val="20"/>
    </w:rPr>
  </w:style>
  <w:style w:type="character" w:customStyle="1" w:styleId="FootnoteTextChar">
    <w:name w:val="Footnote Text Char"/>
    <w:link w:val="FootnoteText"/>
    <w:uiPriority w:val="99"/>
    <w:rsid w:val="004308ED"/>
    <w:rPr>
      <w:lang w:eastAsia="en-US"/>
    </w:rPr>
  </w:style>
  <w:style w:type="character" w:styleId="FootnoteReference">
    <w:name w:val="footnote reference"/>
    <w:uiPriority w:val="99"/>
    <w:semiHidden/>
    <w:unhideWhenUsed/>
    <w:rsid w:val="004308ED"/>
    <w:rPr>
      <w:vertAlign w:val="superscript"/>
    </w:rPr>
  </w:style>
  <w:style w:type="numbering" w:customStyle="1" w:styleId="NoList1">
    <w:name w:val="No List1"/>
    <w:next w:val="NoList"/>
    <w:uiPriority w:val="99"/>
    <w:semiHidden/>
    <w:unhideWhenUsed/>
    <w:rsid w:val="00F9257E"/>
  </w:style>
  <w:style w:type="character" w:customStyle="1" w:styleId="Title100">
    <w:name w:val="Title10"/>
    <w:rsid w:val="00F9257E"/>
  </w:style>
  <w:style w:type="table" w:customStyle="1" w:styleId="TableGrid1">
    <w:name w:val="Table Grid1"/>
    <w:basedOn w:val="TableNormal"/>
    <w:next w:val="TableGrid"/>
    <w:uiPriority w:val="59"/>
    <w:rsid w:val="00F92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F9257E"/>
    <w:rPr>
      <w:i/>
      <w:iCs/>
      <w:color w:val="808080"/>
    </w:rPr>
  </w:style>
  <w:style w:type="paragraph" w:styleId="List4">
    <w:name w:val="List 4"/>
    <w:basedOn w:val="Normal"/>
    <w:rsid w:val="00F9257E"/>
    <w:pPr>
      <w:overflowPunct w:val="0"/>
      <w:autoSpaceDE w:val="0"/>
      <w:autoSpaceDN w:val="0"/>
      <w:adjustRightInd w:val="0"/>
      <w:spacing w:after="0" w:line="240" w:lineRule="auto"/>
      <w:ind w:left="1132" w:hanging="283"/>
      <w:contextualSpacing/>
      <w:textAlignment w:val="baseline"/>
    </w:pPr>
    <w:rPr>
      <w:rFonts w:ascii="TimesLT" w:eastAsia="Times New Roman" w:hAnsi="TimesLT"/>
      <w:sz w:val="24"/>
      <w:szCs w:val="20"/>
    </w:rPr>
  </w:style>
  <w:style w:type="character" w:customStyle="1" w:styleId="UnresolvedMention1">
    <w:name w:val="Unresolved Mention1"/>
    <w:basedOn w:val="DefaultParagraphFont"/>
    <w:uiPriority w:val="99"/>
    <w:semiHidden/>
    <w:unhideWhenUsed/>
    <w:rsid w:val="00BC202C"/>
    <w:rPr>
      <w:color w:val="605E5C"/>
      <w:shd w:val="clear" w:color="auto" w:fill="E1DFDD"/>
    </w:rPr>
  </w:style>
  <w:style w:type="table" w:customStyle="1" w:styleId="TableGrid2">
    <w:name w:val="Table Grid2"/>
    <w:basedOn w:val="TableNormal"/>
    <w:next w:val="TableGrid"/>
    <w:uiPriority w:val="39"/>
    <w:rsid w:val="00A549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rsid w:val="000C73B3"/>
    <w:pPr>
      <w:snapToGrid w:val="0"/>
      <w:ind w:firstLine="312"/>
      <w:jc w:val="both"/>
    </w:pPr>
    <w:rPr>
      <w:rFonts w:ascii="TimesLT" w:eastAsia="Times New Roman" w:hAnsi="TimesLT"/>
      <w:lang w:val="en-US" w:eastAsia="en-US"/>
    </w:rPr>
  </w:style>
  <w:style w:type="numbering" w:customStyle="1" w:styleId="Style1">
    <w:name w:val="Style1"/>
    <w:uiPriority w:val="99"/>
    <w:rsid w:val="000C696D"/>
    <w:pPr>
      <w:numPr>
        <w:numId w:val="6"/>
      </w:numPr>
    </w:pPr>
  </w:style>
  <w:style w:type="numbering" w:customStyle="1" w:styleId="Style2">
    <w:name w:val="Style2"/>
    <w:uiPriority w:val="99"/>
    <w:rsid w:val="000C696D"/>
    <w:pPr>
      <w:numPr>
        <w:numId w:val="7"/>
      </w:numPr>
    </w:pPr>
  </w:style>
  <w:style w:type="numbering" w:customStyle="1" w:styleId="Style3">
    <w:name w:val="Style3"/>
    <w:uiPriority w:val="99"/>
    <w:rsid w:val="000C696D"/>
    <w:pPr>
      <w:numPr>
        <w:numId w:val="9"/>
      </w:numPr>
    </w:pPr>
  </w:style>
  <w:style w:type="numbering" w:customStyle="1" w:styleId="Style4">
    <w:name w:val="Style4"/>
    <w:uiPriority w:val="99"/>
    <w:rsid w:val="000C696D"/>
    <w:pPr>
      <w:numPr>
        <w:numId w:val="10"/>
      </w:numPr>
    </w:pPr>
  </w:style>
  <w:style w:type="numbering" w:customStyle="1" w:styleId="Style5">
    <w:name w:val="Style5"/>
    <w:uiPriority w:val="99"/>
    <w:rsid w:val="000C696D"/>
    <w:pPr>
      <w:numPr>
        <w:numId w:val="12"/>
      </w:numPr>
    </w:pPr>
  </w:style>
  <w:style w:type="numbering" w:customStyle="1" w:styleId="Style6">
    <w:name w:val="Style6"/>
    <w:uiPriority w:val="99"/>
    <w:rsid w:val="000C696D"/>
    <w:pPr>
      <w:numPr>
        <w:numId w:val="13"/>
      </w:numPr>
    </w:pPr>
  </w:style>
  <w:style w:type="character" w:customStyle="1" w:styleId="UnresolvedMention2">
    <w:name w:val="Unresolved Mention2"/>
    <w:basedOn w:val="DefaultParagraphFont"/>
    <w:uiPriority w:val="99"/>
    <w:semiHidden/>
    <w:unhideWhenUsed/>
    <w:rsid w:val="006D294F"/>
    <w:rPr>
      <w:color w:val="605E5C"/>
      <w:shd w:val="clear" w:color="auto" w:fill="E1DFDD"/>
    </w:rPr>
  </w:style>
  <w:style w:type="character" w:customStyle="1" w:styleId="UnresolvedMention3">
    <w:name w:val="Unresolved Mention3"/>
    <w:basedOn w:val="DefaultParagraphFont"/>
    <w:uiPriority w:val="99"/>
    <w:semiHidden/>
    <w:unhideWhenUsed/>
    <w:rsid w:val="001E0433"/>
    <w:rPr>
      <w:color w:val="605E5C"/>
      <w:shd w:val="clear" w:color="auto" w:fill="E1DFDD"/>
    </w:rPr>
  </w:style>
  <w:style w:type="character" w:customStyle="1" w:styleId="Title2">
    <w:name w:val="Title2"/>
    <w:basedOn w:val="DefaultParagraphFont"/>
    <w:rsid w:val="00CE285C"/>
  </w:style>
  <w:style w:type="paragraph" w:customStyle="1" w:styleId="ti-grseq-1">
    <w:name w:val="ti-grseq-1"/>
    <w:basedOn w:val="Normal"/>
    <w:rsid w:val="00CE285C"/>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Normal1">
    <w:name w:val="Normal1"/>
    <w:basedOn w:val="Normal"/>
    <w:rsid w:val="00CE285C"/>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italic">
    <w:name w:val="italic"/>
    <w:rsid w:val="00CE2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838393">
      <w:bodyDiv w:val="1"/>
      <w:marLeft w:val="0"/>
      <w:marRight w:val="0"/>
      <w:marTop w:val="0"/>
      <w:marBottom w:val="0"/>
      <w:divBdr>
        <w:top w:val="none" w:sz="0" w:space="0" w:color="auto"/>
        <w:left w:val="none" w:sz="0" w:space="0" w:color="auto"/>
        <w:bottom w:val="none" w:sz="0" w:space="0" w:color="auto"/>
        <w:right w:val="none" w:sz="0" w:space="0" w:color="auto"/>
      </w:divBdr>
    </w:div>
    <w:div w:id="424880862">
      <w:bodyDiv w:val="1"/>
      <w:marLeft w:val="0"/>
      <w:marRight w:val="0"/>
      <w:marTop w:val="0"/>
      <w:marBottom w:val="0"/>
      <w:divBdr>
        <w:top w:val="none" w:sz="0" w:space="0" w:color="auto"/>
        <w:left w:val="none" w:sz="0" w:space="0" w:color="auto"/>
        <w:bottom w:val="none" w:sz="0" w:space="0" w:color="auto"/>
        <w:right w:val="none" w:sz="0" w:space="0" w:color="auto"/>
      </w:divBdr>
    </w:div>
    <w:div w:id="495459432">
      <w:bodyDiv w:val="1"/>
      <w:marLeft w:val="0"/>
      <w:marRight w:val="0"/>
      <w:marTop w:val="0"/>
      <w:marBottom w:val="0"/>
      <w:divBdr>
        <w:top w:val="none" w:sz="0" w:space="0" w:color="auto"/>
        <w:left w:val="none" w:sz="0" w:space="0" w:color="auto"/>
        <w:bottom w:val="none" w:sz="0" w:space="0" w:color="auto"/>
        <w:right w:val="none" w:sz="0" w:space="0" w:color="auto"/>
      </w:divBdr>
    </w:div>
    <w:div w:id="1014839971">
      <w:bodyDiv w:val="1"/>
      <w:marLeft w:val="0"/>
      <w:marRight w:val="0"/>
      <w:marTop w:val="0"/>
      <w:marBottom w:val="0"/>
      <w:divBdr>
        <w:top w:val="none" w:sz="0" w:space="0" w:color="auto"/>
        <w:left w:val="none" w:sz="0" w:space="0" w:color="auto"/>
        <w:bottom w:val="none" w:sz="0" w:space="0" w:color="auto"/>
        <w:right w:val="none" w:sz="0" w:space="0" w:color="auto"/>
      </w:divBdr>
    </w:div>
    <w:div w:id="1084841106">
      <w:bodyDiv w:val="1"/>
      <w:marLeft w:val="0"/>
      <w:marRight w:val="0"/>
      <w:marTop w:val="0"/>
      <w:marBottom w:val="0"/>
      <w:divBdr>
        <w:top w:val="none" w:sz="0" w:space="0" w:color="auto"/>
        <w:left w:val="none" w:sz="0" w:space="0" w:color="auto"/>
        <w:bottom w:val="none" w:sz="0" w:space="0" w:color="auto"/>
        <w:right w:val="none" w:sz="0" w:space="0" w:color="auto"/>
      </w:divBdr>
    </w:div>
    <w:div w:id="1333223748">
      <w:bodyDiv w:val="1"/>
      <w:marLeft w:val="0"/>
      <w:marRight w:val="0"/>
      <w:marTop w:val="0"/>
      <w:marBottom w:val="0"/>
      <w:divBdr>
        <w:top w:val="none" w:sz="0" w:space="0" w:color="auto"/>
        <w:left w:val="none" w:sz="0" w:space="0" w:color="auto"/>
        <w:bottom w:val="none" w:sz="0" w:space="0" w:color="auto"/>
        <w:right w:val="none" w:sz="0" w:space="0" w:color="auto"/>
      </w:divBdr>
    </w:div>
    <w:div w:id="1360814625">
      <w:bodyDiv w:val="1"/>
      <w:marLeft w:val="0"/>
      <w:marRight w:val="0"/>
      <w:marTop w:val="0"/>
      <w:marBottom w:val="0"/>
      <w:divBdr>
        <w:top w:val="none" w:sz="0" w:space="0" w:color="auto"/>
        <w:left w:val="none" w:sz="0" w:space="0" w:color="auto"/>
        <w:bottom w:val="none" w:sz="0" w:space="0" w:color="auto"/>
        <w:right w:val="none" w:sz="0" w:space="0" w:color="auto"/>
      </w:divBdr>
    </w:div>
    <w:div w:id="1362559255">
      <w:bodyDiv w:val="1"/>
      <w:marLeft w:val="0"/>
      <w:marRight w:val="0"/>
      <w:marTop w:val="0"/>
      <w:marBottom w:val="0"/>
      <w:divBdr>
        <w:top w:val="none" w:sz="0" w:space="0" w:color="auto"/>
        <w:left w:val="none" w:sz="0" w:space="0" w:color="auto"/>
        <w:bottom w:val="none" w:sz="0" w:space="0" w:color="auto"/>
        <w:right w:val="none" w:sz="0" w:space="0" w:color="auto"/>
      </w:divBdr>
    </w:div>
    <w:div w:id="1398674211">
      <w:bodyDiv w:val="1"/>
      <w:marLeft w:val="0"/>
      <w:marRight w:val="0"/>
      <w:marTop w:val="0"/>
      <w:marBottom w:val="0"/>
      <w:divBdr>
        <w:top w:val="none" w:sz="0" w:space="0" w:color="auto"/>
        <w:left w:val="none" w:sz="0" w:space="0" w:color="auto"/>
        <w:bottom w:val="none" w:sz="0" w:space="0" w:color="auto"/>
        <w:right w:val="none" w:sz="0" w:space="0" w:color="auto"/>
      </w:divBdr>
    </w:div>
    <w:div w:id="1407260258">
      <w:bodyDiv w:val="1"/>
      <w:marLeft w:val="0"/>
      <w:marRight w:val="0"/>
      <w:marTop w:val="0"/>
      <w:marBottom w:val="0"/>
      <w:divBdr>
        <w:top w:val="none" w:sz="0" w:space="0" w:color="auto"/>
        <w:left w:val="none" w:sz="0" w:space="0" w:color="auto"/>
        <w:bottom w:val="none" w:sz="0" w:space="0" w:color="auto"/>
        <w:right w:val="none" w:sz="0" w:space="0" w:color="auto"/>
      </w:divBdr>
    </w:div>
    <w:div w:id="1666670279">
      <w:bodyDiv w:val="1"/>
      <w:marLeft w:val="0"/>
      <w:marRight w:val="0"/>
      <w:marTop w:val="0"/>
      <w:marBottom w:val="0"/>
      <w:divBdr>
        <w:top w:val="none" w:sz="0" w:space="0" w:color="auto"/>
        <w:left w:val="none" w:sz="0" w:space="0" w:color="auto"/>
        <w:bottom w:val="none" w:sz="0" w:space="0" w:color="auto"/>
        <w:right w:val="none" w:sz="0" w:space="0" w:color="auto"/>
      </w:divBdr>
    </w:div>
    <w:div w:id="1731659507">
      <w:bodyDiv w:val="1"/>
      <w:marLeft w:val="0"/>
      <w:marRight w:val="0"/>
      <w:marTop w:val="0"/>
      <w:marBottom w:val="0"/>
      <w:divBdr>
        <w:top w:val="none" w:sz="0" w:space="0" w:color="auto"/>
        <w:left w:val="none" w:sz="0" w:space="0" w:color="auto"/>
        <w:bottom w:val="none" w:sz="0" w:space="0" w:color="auto"/>
        <w:right w:val="none" w:sz="0" w:space="0" w:color="auto"/>
      </w:divBdr>
    </w:div>
    <w:div w:id="1784423370">
      <w:bodyDiv w:val="1"/>
      <w:marLeft w:val="0"/>
      <w:marRight w:val="0"/>
      <w:marTop w:val="0"/>
      <w:marBottom w:val="0"/>
      <w:divBdr>
        <w:top w:val="none" w:sz="0" w:space="0" w:color="auto"/>
        <w:left w:val="none" w:sz="0" w:space="0" w:color="auto"/>
        <w:bottom w:val="none" w:sz="0" w:space="0" w:color="auto"/>
        <w:right w:val="none" w:sz="0" w:space="0" w:color="auto"/>
      </w:divBdr>
    </w:div>
    <w:div w:id="2037123115">
      <w:bodyDiv w:val="1"/>
      <w:marLeft w:val="0"/>
      <w:marRight w:val="0"/>
      <w:marTop w:val="0"/>
      <w:marBottom w:val="0"/>
      <w:divBdr>
        <w:top w:val="none" w:sz="0" w:space="0" w:color="auto"/>
        <w:left w:val="none" w:sz="0" w:space="0" w:color="auto"/>
        <w:bottom w:val="none" w:sz="0" w:space="0" w:color="auto"/>
        <w:right w:val="none" w:sz="0" w:space="0" w:color="auto"/>
      </w:divBdr>
    </w:div>
    <w:div w:id="204350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vega.l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vega.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vega.l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as" ma:contentTypeID="0x0101007BFD2E6364EA6F4589E339650EF2D256" ma:contentTypeVersion="10" ma:contentTypeDescription="Kurkite naują dokumentą." ma:contentTypeScope="" ma:versionID="78303729d3000b3d245c46ff3b923aa4">
  <xsd:schema xmlns:xsd="http://www.w3.org/2001/XMLSchema" xmlns:xs="http://www.w3.org/2001/XMLSchema" xmlns:p="http://schemas.microsoft.com/office/2006/metadata/properties" xmlns:ns3="d54348e1-8662-4887-9d6e-2f3aba196886" targetNamespace="http://schemas.microsoft.com/office/2006/metadata/properties" ma:root="true" ma:fieldsID="4a71b3fddf7c036d41ded1a50cc11aa7" ns3:_="">
    <xsd:import namespace="d54348e1-8662-4887-9d6e-2f3aba1968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348e1-8662-4887-9d6e-2f3aba196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E0278A-B36F-4540-A206-7FAC1EBFACF7}">
  <ds:schemaRefs>
    <ds:schemaRef ds:uri="http://schemas.microsoft.com/sharepoint/v3/contenttype/forms"/>
  </ds:schemaRefs>
</ds:datastoreItem>
</file>

<file path=customXml/itemProps2.xml><?xml version="1.0" encoding="utf-8"?>
<ds:datastoreItem xmlns:ds="http://schemas.openxmlformats.org/officeDocument/2006/customXml" ds:itemID="{F6B3C6C7-F663-4A70-84F1-D21EAD862D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27F6F0-13CC-45F7-8E83-F34EF5EE6361}">
  <ds:schemaRefs>
    <ds:schemaRef ds:uri="http://schemas.openxmlformats.org/officeDocument/2006/bibliography"/>
  </ds:schemaRefs>
</ds:datastoreItem>
</file>

<file path=customXml/itemProps4.xml><?xml version="1.0" encoding="utf-8"?>
<ds:datastoreItem xmlns:ds="http://schemas.openxmlformats.org/officeDocument/2006/customXml" ds:itemID="{13F00436-FB19-4246-8E24-7A313319F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348e1-8662-4887-9d6e-2f3aba196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20</Pages>
  <Words>28625</Words>
  <Characters>16317</Characters>
  <Application>Microsoft Office Word</Application>
  <DocSecurity>0</DocSecurity>
  <Lines>135</Lines>
  <Paragraphs>89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TECHNINĖ UŽDUOTIS</vt:lpstr>
      <vt:lpstr>TECHNINĖ UŽDUOTIS</vt:lpstr>
    </vt:vector>
  </TitlesOfParts>
  <Company>INVEGA, UAB</Company>
  <LinksUpToDate>false</LinksUpToDate>
  <CharactersWithSpaces>44853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TECHNINĖ UŽDUOTIS</dc:title>
  <dc:creator>vilija</dc:creator>
  <cp:lastModifiedBy>Milda Kutraitė</cp:lastModifiedBy>
  <cp:revision>10</cp:revision>
  <cp:lastPrinted>2020-07-24T11:46:00Z</cp:lastPrinted>
  <dcterms:created xsi:type="dcterms:W3CDTF">2020-07-29T17:00:00Z</dcterms:created>
  <dcterms:modified xsi:type="dcterms:W3CDTF">2020-08-03T14:11:00Z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0x0101007BFD2E6364EA6F4589E339650EF2D256</vt:lpwstr>
  </property>
</Properties>
</file>